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A401A2" w14:textId="2F0DD666" w:rsidR="00735486" w:rsidRDefault="00735486" w:rsidP="00735486">
      <w:pPr>
        <w:spacing w:line="360" w:lineRule="auto"/>
        <w:jc w:val="center"/>
        <w:rPr>
          <w:rFonts w:asciiTheme="majorBidi" w:hAnsiTheme="majorBidi" w:cstheme="majorBidi"/>
          <w:b/>
          <w:bCs/>
        </w:rPr>
      </w:pPr>
      <w:r w:rsidRPr="00DE3AD3">
        <w:rPr>
          <w:rFonts w:asciiTheme="majorBidi" w:hAnsiTheme="majorBidi" w:cstheme="majorBidi"/>
          <w:b/>
          <w:bCs/>
        </w:rPr>
        <w:t xml:space="preserve">SEJARAH PESANTREN DAN SISTEM PENDIDIKAN </w:t>
      </w:r>
      <w:r w:rsidR="00B94750">
        <w:rPr>
          <w:rFonts w:asciiTheme="majorBidi" w:hAnsiTheme="majorBidi" w:cstheme="majorBidi"/>
          <w:b/>
          <w:bCs/>
          <w:lang w:val="id-ID"/>
        </w:rPr>
        <w:t xml:space="preserve">DI </w:t>
      </w:r>
      <w:r w:rsidRPr="00DE3AD3">
        <w:rPr>
          <w:rFonts w:asciiTheme="majorBidi" w:hAnsiTheme="majorBidi" w:cstheme="majorBidi"/>
          <w:b/>
          <w:bCs/>
        </w:rPr>
        <w:t>PESANTREN</w:t>
      </w:r>
    </w:p>
    <w:p w14:paraId="3A5E0B71" w14:textId="420953AA" w:rsidR="00AE71A9" w:rsidRPr="00735486" w:rsidRDefault="004A1B19" w:rsidP="00AE71A9">
      <w:pPr>
        <w:contextualSpacing/>
        <w:jc w:val="center"/>
        <w:rPr>
          <w:rFonts w:ascii="Times New Roman" w:hAnsi="Times New Roman"/>
          <w:b/>
          <w:iCs/>
          <w:vertAlign w:val="superscript"/>
          <w:lang w:val="id-ID"/>
        </w:rPr>
      </w:pPr>
      <m:oMathPara>
        <m:oMath>
          <m:r>
            <m:rPr>
              <m:sty m:val="b"/>
            </m:rPr>
            <w:rPr>
              <w:rFonts w:ascii="Cambria Math" w:hAnsi="Cambria Math"/>
              <w:vertAlign w:val="superscript"/>
              <w:lang w:val="id-ID"/>
            </w:rPr>
            <m:t>Mastur</m:t>
          </m:r>
        </m:oMath>
      </m:oMathPara>
    </w:p>
    <w:p w14:paraId="52DDFB87" w14:textId="77777777" w:rsidR="004A1B19" w:rsidRDefault="004A1B19" w:rsidP="0045584D">
      <w:pPr>
        <w:ind w:right="49"/>
        <w:contextualSpacing/>
        <w:jc w:val="center"/>
        <w:rPr>
          <w:rFonts w:ascii="Times New Roman" w:hAnsi="Times New Roman"/>
          <w:lang w:val="id-ID"/>
        </w:rPr>
      </w:pPr>
    </w:p>
    <w:p w14:paraId="2E47398D" w14:textId="7ADB872E" w:rsidR="0045584D" w:rsidRDefault="0045584D" w:rsidP="0045584D">
      <w:pPr>
        <w:ind w:right="49"/>
        <w:contextualSpacing/>
        <w:jc w:val="center"/>
        <w:rPr>
          <w:rFonts w:ascii="Book Antiqua" w:hAnsi="Book Antiqua"/>
          <w:b/>
          <w:iCs/>
        </w:rPr>
      </w:pPr>
      <w:r w:rsidRPr="00370B42">
        <w:rPr>
          <w:rFonts w:ascii="Book Antiqua" w:hAnsi="Book Antiqua"/>
          <w:b/>
          <w:iCs/>
        </w:rPr>
        <w:t>Abstrak</w:t>
      </w:r>
    </w:p>
    <w:p w14:paraId="08A5B240" w14:textId="77777777" w:rsidR="00717065" w:rsidRDefault="00717065" w:rsidP="0045584D">
      <w:pPr>
        <w:ind w:right="49"/>
        <w:contextualSpacing/>
        <w:jc w:val="center"/>
        <w:rPr>
          <w:rFonts w:ascii="Book Antiqua" w:hAnsi="Book Antiqua"/>
          <w:b/>
          <w:iCs/>
        </w:rPr>
      </w:pPr>
    </w:p>
    <w:p w14:paraId="5A20BC68" w14:textId="77777777" w:rsidR="00717065" w:rsidRPr="00DE3AD3" w:rsidRDefault="00717065" w:rsidP="00717065">
      <w:pPr>
        <w:spacing w:line="360" w:lineRule="auto"/>
        <w:jc w:val="both"/>
        <w:rPr>
          <w:rFonts w:asciiTheme="majorBidi" w:hAnsiTheme="majorBidi" w:cstheme="majorBidi"/>
        </w:rPr>
      </w:pPr>
      <w:r w:rsidRPr="00DE3AD3">
        <w:rPr>
          <w:rFonts w:asciiTheme="majorBidi" w:hAnsiTheme="majorBidi" w:cstheme="majorBidi"/>
        </w:rPr>
        <w:t xml:space="preserve">Tujuan penelitian ini adalah untuk mengetahui filosofis tentang filsafat pendidikan pesantren. Penelitian ini menggunakan metode penelitian kajian Pustaka atau studi kepustkaan untuk menggali informasi terkait tema, dari hasil analisis yang telah dilakukan diperoleh data penelitian yang menunjukkan bahwa sejarah pesantren dan sistem pendidikan pesantren, yaitu dua hal yang saling berkaitan dan tidak bisa lepas satu sama lain. Sejarah pesantren dalam sistem pendidikan Indonesia sangat penting dan berpengaruh, diantaranya adalah pendidikan pesantren ikut andil besar dalam pendidikan nasional. Dengan adanya pendidikan pesantren bisa menjadi salah satu alternatif pendidikan di masa sekarang dan masa depan karena dalam sistem pendidikan pesantren sudah sangat mengikuti perkembangan era modern tanpa meninggalkan unsur-unsur kekhasan sistem pendidikan pesantren itu sendiri. </w:t>
      </w:r>
    </w:p>
    <w:p w14:paraId="7425C1EC" w14:textId="77777777" w:rsidR="0045584D" w:rsidRDefault="0045584D" w:rsidP="0045584D">
      <w:pPr>
        <w:tabs>
          <w:tab w:val="left" w:pos="426"/>
        </w:tabs>
      </w:pPr>
    </w:p>
    <w:p w14:paraId="678D62CF" w14:textId="4D3B5FAB" w:rsidR="0045584D" w:rsidRPr="00717065" w:rsidRDefault="0045584D" w:rsidP="0045584D">
      <w:pPr>
        <w:rPr>
          <w:rFonts w:ascii="Times New Roman" w:hAnsi="Times New Roman"/>
          <w:lang w:val="id-ID"/>
        </w:rPr>
      </w:pPr>
      <w:r w:rsidRPr="005D4483">
        <w:rPr>
          <w:rFonts w:ascii="Times New Roman" w:hAnsi="Times New Roman"/>
          <w:b/>
        </w:rPr>
        <w:t>Kata kunci:</w:t>
      </w:r>
      <w:r w:rsidRPr="005D4483">
        <w:rPr>
          <w:rFonts w:ascii="Times New Roman" w:hAnsi="Times New Roman"/>
        </w:rPr>
        <w:t xml:space="preserve"> </w:t>
      </w:r>
      <w:r w:rsidR="00717065">
        <w:rPr>
          <w:rFonts w:ascii="Times New Roman" w:hAnsi="Times New Roman"/>
          <w:lang w:val="id-ID"/>
        </w:rPr>
        <w:t>pesantren, sejarah, pendidikan</w:t>
      </w:r>
    </w:p>
    <w:p w14:paraId="36148494" w14:textId="77777777" w:rsidR="0045584D" w:rsidRPr="00006430" w:rsidRDefault="0045584D" w:rsidP="0045584D"/>
    <w:p w14:paraId="4C2EF263" w14:textId="77777777" w:rsidR="0045584D" w:rsidRPr="005D4483" w:rsidRDefault="0045584D" w:rsidP="0045584D">
      <w:pPr>
        <w:spacing w:line="360" w:lineRule="auto"/>
        <w:jc w:val="both"/>
        <w:rPr>
          <w:rFonts w:ascii="Times New Roman" w:hAnsi="Times New Roman"/>
          <w:b/>
        </w:rPr>
      </w:pPr>
      <w:r w:rsidRPr="005D4483">
        <w:rPr>
          <w:rFonts w:ascii="Times New Roman" w:hAnsi="Times New Roman"/>
          <w:b/>
        </w:rPr>
        <w:t>PENDAHULUAN</w:t>
      </w:r>
    </w:p>
    <w:p w14:paraId="05780021" w14:textId="77777777" w:rsidR="00B94750" w:rsidRPr="00DE3AD3" w:rsidRDefault="00B94750" w:rsidP="00B94750">
      <w:pPr>
        <w:spacing w:line="360" w:lineRule="auto"/>
        <w:ind w:firstLine="720"/>
        <w:jc w:val="both"/>
        <w:rPr>
          <w:rFonts w:asciiTheme="majorBidi" w:hAnsiTheme="majorBidi" w:cstheme="majorBidi"/>
        </w:rPr>
      </w:pPr>
      <w:r w:rsidRPr="00DE3AD3">
        <w:rPr>
          <w:rFonts w:asciiTheme="majorBidi" w:hAnsiTheme="majorBidi" w:cstheme="majorBidi"/>
        </w:rPr>
        <w:t>Pesantren memegang peranan yang sangat penting dalam dunia pendidikan islam. Perkembangan dunia pendidikan yang ada saat ini tidak lepas dari dinamika perkembangan dunia pesantren dari awal hingga era modern dengan segala permasalahannya. Peran tersebut tidak hanya sebatas menyebarkan ilmu dan dakwah islam ke berbagai pelosok tanah air, tetapi juga membangun semangat perlawanan umat islam terhadap para penyerang, penjajah di masa awal perkembangan.</w:t>
      </w:r>
      <w:r w:rsidRPr="00DE3AD3">
        <w:rPr>
          <w:rStyle w:val="FootnoteReference"/>
          <w:rFonts w:asciiTheme="majorBidi" w:hAnsiTheme="majorBidi" w:cstheme="majorBidi"/>
        </w:rPr>
        <w:footnoteReference w:id="1"/>
      </w:r>
      <w:r>
        <w:rPr>
          <w:rFonts w:asciiTheme="majorBidi" w:hAnsiTheme="majorBidi" w:cstheme="majorBidi"/>
        </w:rPr>
        <w:t xml:space="preserve"> </w:t>
      </w:r>
      <w:r w:rsidRPr="00DE3AD3">
        <w:rPr>
          <w:rFonts w:asciiTheme="majorBidi" w:hAnsiTheme="majorBidi" w:cstheme="majorBidi"/>
        </w:rPr>
        <w:t>Pesantren adalah salah satu jenis pendidikan islam tradisional Indonesia. Lembaga ini telah ada selama 300 – 400 tahun, menjangkau hampir semua lapisan masyarakat muslim. Pesantren telah diakui sebagai Lembaga pendidikan yang bergerak dibidang pendidikan kehidupan bangsa. Pada masa kolonial the ponderren adalah Lembaga pendidik yang berjasa bagi umat islam.</w:t>
      </w:r>
      <w:r w:rsidRPr="00DE3AD3">
        <w:rPr>
          <w:rStyle w:val="FootnoteReference"/>
          <w:rFonts w:asciiTheme="majorBidi" w:hAnsiTheme="majorBidi" w:cstheme="majorBidi"/>
        </w:rPr>
        <w:footnoteReference w:id="2"/>
      </w:r>
      <w:r w:rsidRPr="00DE3AD3">
        <w:rPr>
          <w:rFonts w:asciiTheme="majorBidi" w:hAnsiTheme="majorBidi" w:cstheme="majorBidi"/>
        </w:rPr>
        <w:t xml:space="preserve"> </w:t>
      </w:r>
    </w:p>
    <w:p w14:paraId="70C7E8B6" w14:textId="1E9991CD" w:rsidR="00B94750" w:rsidRDefault="00B94750" w:rsidP="00B94750">
      <w:pPr>
        <w:spacing w:line="360" w:lineRule="auto"/>
        <w:ind w:firstLine="720"/>
        <w:jc w:val="both"/>
        <w:rPr>
          <w:rFonts w:asciiTheme="majorBidi" w:hAnsiTheme="majorBidi" w:cstheme="majorBidi"/>
        </w:rPr>
      </w:pPr>
      <w:r w:rsidRPr="00DE3AD3">
        <w:rPr>
          <w:rFonts w:asciiTheme="majorBidi" w:hAnsiTheme="majorBidi" w:cstheme="majorBidi"/>
        </w:rPr>
        <w:t xml:space="preserve">Dapat dikatakan bahwa pesantren merupakan “Bapak” pendidikan islam di Indonesia, yang didirikan karena tuntutan dan kebutuhan zaman. Hal ini dapat dilihat dalam perjalanan sejarah, </w:t>
      </w:r>
      <w:r w:rsidRPr="00DE3AD3">
        <w:rPr>
          <w:rFonts w:asciiTheme="majorBidi" w:hAnsiTheme="majorBidi" w:cstheme="majorBidi"/>
        </w:rPr>
        <w:lastRenderedPageBreak/>
        <w:t>dimana jika kita menengok ke belakang, sebenarnya pesantren itu lahir dari pemenuhan tugas dakwah islam, yaitu menyebarkan dan mengembangkan ajaran islam serta pembuatannya kader – kader ulama dan dai.</w:t>
      </w:r>
      <w:r w:rsidRPr="00DE3AD3">
        <w:rPr>
          <w:rStyle w:val="FootnoteReference"/>
          <w:rFonts w:asciiTheme="majorBidi" w:hAnsiTheme="majorBidi" w:cstheme="majorBidi"/>
        </w:rPr>
        <w:footnoteReference w:id="3"/>
      </w:r>
      <w:r w:rsidRPr="00DE3AD3">
        <w:rPr>
          <w:rFonts w:asciiTheme="majorBidi" w:hAnsiTheme="majorBidi" w:cstheme="majorBidi"/>
        </w:rPr>
        <w:t xml:space="preserve"> Secara historis tujuan utama pesantren, seperti Lukens Bull mencontohkan, mempersiapkan santri untuk menjadi Dai, untuk lebih menyebarkan islam di jawa. Istilah pesantren, berasal dari kata santri, dan diartikan sebagai tempat para santri tinggal dan belajar agama islam, selama tinggal di pondok (asrama) dibawah bimbingan seorang kiai atau pemuka agama. Saat ini, terdapat 27.722 pesantren di seluruh Indonesia, dengan jumlah tertinggi berada di Jawa Barat dengan 8.410 pesantren dan di Sulawesi selatan terdapat 297 pesantren.</w:t>
      </w:r>
      <w:r w:rsidRPr="00DE3AD3">
        <w:rPr>
          <w:rStyle w:val="FootnoteReference"/>
          <w:rFonts w:asciiTheme="majorBidi" w:hAnsiTheme="majorBidi" w:cstheme="majorBidi"/>
        </w:rPr>
        <w:footnoteReference w:id="4"/>
      </w:r>
      <w:r>
        <w:rPr>
          <w:rFonts w:asciiTheme="majorBidi" w:hAnsiTheme="majorBidi" w:cstheme="majorBidi"/>
          <w:lang w:val="id-ID"/>
        </w:rPr>
        <w:t xml:space="preserve"> </w:t>
      </w:r>
      <w:r w:rsidRPr="00DE3AD3">
        <w:rPr>
          <w:rFonts w:asciiTheme="majorBidi" w:hAnsiTheme="majorBidi" w:cstheme="majorBidi"/>
        </w:rPr>
        <w:t xml:space="preserve">Oleh karena itu, sebelum mempelajari filsafat pendidikan islam di pesantren penulis akan memaparkan pengertian pesantren sejarah dan sistem pendidikan pesantren. </w:t>
      </w:r>
    </w:p>
    <w:p w14:paraId="047B1A73" w14:textId="77777777" w:rsidR="00B94750" w:rsidRPr="00DE3AD3" w:rsidRDefault="00B94750" w:rsidP="00B94750">
      <w:pPr>
        <w:spacing w:line="360" w:lineRule="auto"/>
        <w:ind w:firstLine="720"/>
        <w:jc w:val="both"/>
        <w:rPr>
          <w:rFonts w:asciiTheme="majorBidi" w:hAnsiTheme="majorBidi" w:cstheme="majorBidi"/>
        </w:rPr>
      </w:pPr>
    </w:p>
    <w:p w14:paraId="40378C86" w14:textId="77777777" w:rsidR="00B94750" w:rsidRPr="00DE3AD3" w:rsidRDefault="00B94750" w:rsidP="00B94750">
      <w:pPr>
        <w:spacing w:line="360" w:lineRule="auto"/>
        <w:jc w:val="both"/>
        <w:rPr>
          <w:rFonts w:asciiTheme="majorBidi" w:hAnsiTheme="majorBidi" w:cstheme="majorBidi"/>
          <w:b/>
          <w:bCs/>
        </w:rPr>
      </w:pPr>
      <w:r w:rsidRPr="00DE3AD3">
        <w:rPr>
          <w:rFonts w:asciiTheme="majorBidi" w:hAnsiTheme="majorBidi" w:cstheme="majorBidi"/>
          <w:b/>
          <w:bCs/>
        </w:rPr>
        <w:t xml:space="preserve">METODE PENELITIAN </w:t>
      </w:r>
    </w:p>
    <w:p w14:paraId="381CC7C1" w14:textId="344E5C78" w:rsidR="00B94750" w:rsidRDefault="00B94750" w:rsidP="00B94750">
      <w:pPr>
        <w:spacing w:line="360" w:lineRule="auto"/>
        <w:jc w:val="both"/>
        <w:rPr>
          <w:rFonts w:asciiTheme="majorBidi" w:hAnsiTheme="majorBidi" w:cstheme="majorBidi"/>
        </w:rPr>
      </w:pPr>
      <w:r w:rsidRPr="00DE3AD3">
        <w:rPr>
          <w:rFonts w:asciiTheme="majorBidi" w:hAnsiTheme="majorBidi" w:cstheme="majorBidi"/>
        </w:rPr>
        <w:t xml:space="preserve">Metode yang digunakan dalam penelitian ini adalah jenis penelitian library research (pustaka) atau kajian Pustaka, dalam penelitian ini menggunakan data pustaka sebagai objek kajian dalam penelitiannya, menggunakan buku-buku, artikel, dan jurnal sebagai sumber datanya. Dalam penelitiannya, peneliti teknik yang digunakan peneliti dalam pengumpulan data yaitu dengan metode library research, yakni studi kepustakaan. Kajian pustaka adalah suatu kumpulan dari teori yang dipilih untuk menjadi bahan referensi, literatur, dan dasar dalam sebuah penelitian atau karya tulis ilmiah. Tujuan dari penelitian ini ialah untuk membahas lebih mendalam tentang sejarah pesantren dan sistem pendidikan pesantren. </w:t>
      </w:r>
    </w:p>
    <w:p w14:paraId="3D3E3465" w14:textId="166CE780" w:rsidR="00B94750" w:rsidRDefault="00B94750" w:rsidP="00B94750">
      <w:pPr>
        <w:spacing w:line="360" w:lineRule="auto"/>
        <w:jc w:val="both"/>
        <w:rPr>
          <w:rFonts w:asciiTheme="majorBidi" w:hAnsiTheme="majorBidi" w:cstheme="majorBidi"/>
        </w:rPr>
      </w:pPr>
    </w:p>
    <w:p w14:paraId="6AF9E70C" w14:textId="1021B77D" w:rsidR="00B94750" w:rsidRDefault="00B94750" w:rsidP="00B94750">
      <w:pPr>
        <w:spacing w:line="360" w:lineRule="auto"/>
        <w:jc w:val="both"/>
        <w:rPr>
          <w:rFonts w:asciiTheme="majorBidi" w:hAnsiTheme="majorBidi" w:cstheme="majorBidi"/>
        </w:rPr>
      </w:pPr>
    </w:p>
    <w:p w14:paraId="78890143" w14:textId="77777777" w:rsidR="00B94750" w:rsidRDefault="00B94750" w:rsidP="00B94750">
      <w:pPr>
        <w:spacing w:line="360" w:lineRule="auto"/>
        <w:jc w:val="both"/>
        <w:rPr>
          <w:rFonts w:asciiTheme="majorBidi" w:hAnsiTheme="majorBidi" w:cstheme="majorBidi"/>
        </w:rPr>
      </w:pPr>
    </w:p>
    <w:p w14:paraId="4E51D467" w14:textId="77777777" w:rsidR="00B94750" w:rsidRPr="00DE3AD3" w:rsidRDefault="00B94750" w:rsidP="00B94750">
      <w:pPr>
        <w:spacing w:line="360" w:lineRule="auto"/>
        <w:jc w:val="both"/>
        <w:rPr>
          <w:rFonts w:asciiTheme="majorBidi" w:hAnsiTheme="majorBidi" w:cstheme="majorBidi"/>
        </w:rPr>
      </w:pPr>
    </w:p>
    <w:p w14:paraId="4327F83A" w14:textId="77777777" w:rsidR="00B94750" w:rsidRPr="00DE3AD3" w:rsidRDefault="00B94750" w:rsidP="00B94750">
      <w:pPr>
        <w:spacing w:line="360" w:lineRule="auto"/>
        <w:rPr>
          <w:rFonts w:asciiTheme="majorBidi" w:hAnsiTheme="majorBidi" w:cstheme="majorBidi"/>
          <w:b/>
          <w:bCs/>
        </w:rPr>
      </w:pPr>
      <w:r w:rsidRPr="00DE3AD3">
        <w:rPr>
          <w:rFonts w:asciiTheme="majorBidi" w:hAnsiTheme="majorBidi" w:cstheme="majorBidi"/>
          <w:b/>
          <w:bCs/>
        </w:rPr>
        <w:t>HASIL DAN PEMBAHASAN</w:t>
      </w:r>
    </w:p>
    <w:p w14:paraId="6F6A9CFD" w14:textId="77777777" w:rsidR="00B94750" w:rsidRPr="00DE3AD3" w:rsidRDefault="00B94750" w:rsidP="00B94750">
      <w:pPr>
        <w:pStyle w:val="ListParagraph"/>
        <w:numPr>
          <w:ilvl w:val="0"/>
          <w:numId w:val="3"/>
        </w:numPr>
        <w:spacing w:after="160" w:line="360" w:lineRule="auto"/>
        <w:contextualSpacing/>
        <w:jc w:val="both"/>
        <w:rPr>
          <w:rFonts w:asciiTheme="majorBidi" w:hAnsiTheme="majorBidi" w:cstheme="majorBidi"/>
          <w:b/>
          <w:bCs/>
        </w:rPr>
      </w:pPr>
      <w:r>
        <w:rPr>
          <w:rFonts w:asciiTheme="majorBidi" w:hAnsiTheme="majorBidi" w:cstheme="majorBidi"/>
          <w:b/>
          <w:bCs/>
        </w:rPr>
        <w:t>Pondok P</w:t>
      </w:r>
      <w:r w:rsidRPr="00DE3AD3">
        <w:rPr>
          <w:rFonts w:asciiTheme="majorBidi" w:hAnsiTheme="majorBidi" w:cstheme="majorBidi"/>
          <w:b/>
          <w:bCs/>
        </w:rPr>
        <w:t>esantren</w:t>
      </w:r>
      <w:r>
        <w:rPr>
          <w:rFonts w:asciiTheme="majorBidi" w:hAnsiTheme="majorBidi" w:cstheme="majorBidi"/>
          <w:b/>
          <w:bCs/>
        </w:rPr>
        <w:t xml:space="preserve"> dalam Tinjauan Ontologi</w:t>
      </w:r>
      <w:r w:rsidRPr="00DE3AD3">
        <w:rPr>
          <w:rFonts w:asciiTheme="majorBidi" w:hAnsiTheme="majorBidi" w:cstheme="majorBidi"/>
          <w:b/>
          <w:bCs/>
        </w:rPr>
        <w:t xml:space="preserve"> </w:t>
      </w:r>
    </w:p>
    <w:p w14:paraId="68158088" w14:textId="77777777" w:rsidR="00B94750" w:rsidRPr="001B5F37"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 xml:space="preserve">Menurut Arifin (1991:23) Pondok pesantren merupakan suatu lembaga pendidikan Islam yang tumbuh serta diakui oleh masyarakat sekitar, dengan sistem asrama (komplek) </w:t>
      </w:r>
      <w:r w:rsidRPr="00DE3AD3">
        <w:rPr>
          <w:rFonts w:asciiTheme="majorBidi" w:hAnsiTheme="majorBidi" w:cstheme="majorBidi"/>
        </w:rPr>
        <w:lastRenderedPageBreak/>
        <w:t>dimana santri-santri menerima pendidikan agama melalui sistem pengajian atau madrasah yang sepenuhnya berada dibawah kedaulatan dari leadership seorang atau beberapa orang kiai dengan ciri-ciri khas yang bersifat kharismatik serta independen dalam segala hal.</w:t>
      </w:r>
      <w:r w:rsidRPr="00DE3AD3">
        <w:rPr>
          <w:rStyle w:val="FootnoteReference"/>
          <w:rFonts w:asciiTheme="majorBidi" w:hAnsiTheme="majorBidi" w:cstheme="majorBidi"/>
        </w:rPr>
        <w:footnoteReference w:id="5"/>
      </w:r>
      <w:r>
        <w:rPr>
          <w:rFonts w:asciiTheme="majorBidi" w:hAnsiTheme="majorBidi" w:cstheme="majorBidi"/>
        </w:rPr>
        <w:t xml:space="preserve"> </w:t>
      </w:r>
      <w:r w:rsidRPr="001B5F37">
        <w:rPr>
          <w:rFonts w:asciiTheme="majorBidi" w:hAnsiTheme="majorBidi" w:cstheme="majorBidi"/>
        </w:rPr>
        <w:t xml:space="preserve">Menurut Kafrawi, pondok pesantren adalah Lembaga pendidikan dan pengajaran agama islam yang pada umumnya pendidikan dan pengajaran tersebut diberikan dengan cara nonklasikal (sistem bandongan dan sorogan), dimana seorang kiai mengajar santri-santrinya berdasarkan kitab-kitab yang ditulis dalam Bahasa arab oleh ulama-ulama besar sejak abad pertengahan, sedang para santri biasanya tinggal dalam pondok atau asrama. </w:t>
      </w:r>
    </w:p>
    <w:p w14:paraId="1BF0CD88" w14:textId="77777777" w:rsidR="00B94750" w:rsidRPr="00DE3AD3"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 xml:space="preserve">Menurut Zamakhsyari Dhofier dalam bukunya </w:t>
      </w:r>
      <w:r w:rsidRPr="00DE3AD3">
        <w:rPr>
          <w:rFonts w:asciiTheme="majorBidi" w:hAnsiTheme="majorBidi" w:cstheme="majorBidi"/>
          <w:i/>
          <w:iCs/>
        </w:rPr>
        <w:t>Tradisi Pesantren</w:t>
      </w:r>
      <w:r w:rsidRPr="00DE3AD3">
        <w:rPr>
          <w:rFonts w:asciiTheme="majorBidi" w:hAnsiTheme="majorBidi" w:cstheme="majorBidi"/>
        </w:rPr>
        <w:t xml:space="preserve">, menjelaskan bahwa perkataan pesantren berasal dari kata santri yang mendapat awalan </w:t>
      </w:r>
      <w:r w:rsidRPr="00DE3AD3">
        <w:rPr>
          <w:rFonts w:asciiTheme="majorBidi" w:hAnsiTheme="majorBidi" w:cstheme="majorBidi"/>
          <w:i/>
          <w:iCs/>
        </w:rPr>
        <w:t>pe</w:t>
      </w:r>
      <w:r w:rsidRPr="00DE3AD3">
        <w:rPr>
          <w:rFonts w:asciiTheme="majorBidi" w:hAnsiTheme="majorBidi" w:cstheme="majorBidi"/>
        </w:rPr>
        <w:t xml:space="preserve"> dan akhiran</w:t>
      </w:r>
      <w:r w:rsidRPr="00DE3AD3">
        <w:rPr>
          <w:rFonts w:asciiTheme="majorBidi" w:hAnsiTheme="majorBidi" w:cstheme="majorBidi"/>
          <w:i/>
          <w:iCs/>
        </w:rPr>
        <w:t xml:space="preserve"> an</w:t>
      </w:r>
      <w:r w:rsidRPr="00DE3AD3">
        <w:rPr>
          <w:rFonts w:asciiTheme="majorBidi" w:hAnsiTheme="majorBidi" w:cstheme="majorBidi"/>
        </w:rPr>
        <w:t xml:space="preserve"> berarti tempat tinggal para santri, dan istilah santri berasal dari Bahasa Tamil yang berarti guru ngaji.</w:t>
      </w:r>
      <w:r w:rsidRPr="00DE3AD3">
        <w:rPr>
          <w:rStyle w:val="FootnoteReference"/>
          <w:rFonts w:asciiTheme="majorBidi" w:hAnsiTheme="majorBidi" w:cstheme="majorBidi"/>
        </w:rPr>
        <w:footnoteReference w:id="6"/>
      </w:r>
    </w:p>
    <w:p w14:paraId="00099202" w14:textId="77777777" w:rsidR="00B94750" w:rsidRPr="00DE3AD3"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 xml:space="preserve">Dalam peraturan pemerintah No.55 Tahun 2007 tentang Pendidikan Agama dan Pendidikan Keagamaan, pesantren atau pondok pesantren didefinisikan sebagai lembaga pendidikan keagamaan islam berbasis masyarakat yang menyelenggarakan pendidikan diniyah atau secara terpadu dengan jenis pendidikan yang lainnya. </w:t>
      </w:r>
    </w:p>
    <w:p w14:paraId="61D38D4E" w14:textId="4989656E" w:rsidR="00B94750" w:rsidRPr="00B94750"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 xml:space="preserve">Dari beberapa pendapat diatas tentang pengertian pondok pesantren dapat disimpulkan bahwa, pondok pesantren adalah suatu Lembaga pendidikan islam, dengan sistem belajar menggunakan kitab-kitab dalam Bahasa arab yang ditulis ulama-ulama pada zaman dahulu. </w:t>
      </w:r>
    </w:p>
    <w:p w14:paraId="0BE0D9D3" w14:textId="77777777" w:rsidR="00B94750" w:rsidRPr="00DE3AD3" w:rsidRDefault="00B94750" w:rsidP="00B94750">
      <w:pPr>
        <w:pStyle w:val="ListParagraph"/>
        <w:numPr>
          <w:ilvl w:val="0"/>
          <w:numId w:val="3"/>
        </w:numPr>
        <w:spacing w:after="160" w:line="360" w:lineRule="auto"/>
        <w:contextualSpacing/>
        <w:jc w:val="both"/>
        <w:rPr>
          <w:rFonts w:asciiTheme="majorBidi" w:hAnsiTheme="majorBidi" w:cstheme="majorBidi"/>
          <w:b/>
          <w:bCs/>
        </w:rPr>
      </w:pPr>
      <w:r w:rsidRPr="00DE3AD3">
        <w:rPr>
          <w:rFonts w:asciiTheme="majorBidi" w:hAnsiTheme="majorBidi" w:cstheme="majorBidi"/>
          <w:b/>
          <w:bCs/>
        </w:rPr>
        <w:t xml:space="preserve">Genealogi </w:t>
      </w:r>
      <w:r>
        <w:rPr>
          <w:rFonts w:asciiTheme="majorBidi" w:hAnsiTheme="majorBidi" w:cstheme="majorBidi"/>
          <w:b/>
          <w:bCs/>
        </w:rPr>
        <w:t>Pondok P</w:t>
      </w:r>
      <w:r w:rsidRPr="00DE3AD3">
        <w:rPr>
          <w:rFonts w:asciiTheme="majorBidi" w:hAnsiTheme="majorBidi" w:cstheme="majorBidi"/>
          <w:b/>
          <w:bCs/>
        </w:rPr>
        <w:t xml:space="preserve">esantren </w:t>
      </w:r>
    </w:p>
    <w:p w14:paraId="4C1137E9" w14:textId="77777777" w:rsidR="00B94750" w:rsidRPr="00DE3AD3"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 xml:space="preserve">Genealogi berasal dari Bahasa Yunani yaitu genea yang berarti “keturunan” dan logos “pengetahuan” merupakan kajian tentang keluarga dan penelusuran jalur keturunan serta sejarahnya. Dalam karya - karya Martin Van Bruinessen yang pernah dipresentasikan pada Seminar Tradisi Tekstual di Asia Tenggara di Bern Jerman pada Juli 1989, ia berusaha menelusuri asal usul tradisi pesantren, kitab – kitab yang dipelajarinya dan perkembangannya di Indonesia. Menurut alasan utama munculnya pondok pesantren di </w:t>
      </w:r>
      <w:r w:rsidRPr="00DE3AD3">
        <w:rPr>
          <w:rFonts w:asciiTheme="majorBidi" w:hAnsiTheme="majorBidi" w:cstheme="majorBidi"/>
        </w:rPr>
        <w:lastRenderedPageBreak/>
        <w:t>Indonesia adalah untuk menyebarkan Islam tradisional yang muncul dalam kitab – kitab kanonik yang ditulis berabad – abad yang lalu.</w:t>
      </w:r>
      <w:r w:rsidRPr="00DE3AD3">
        <w:rPr>
          <w:rStyle w:val="FootnoteReference"/>
          <w:rFonts w:asciiTheme="majorBidi" w:hAnsiTheme="majorBidi" w:cstheme="majorBidi"/>
        </w:rPr>
        <w:footnoteReference w:id="7"/>
      </w:r>
      <w:r w:rsidRPr="00DE3AD3">
        <w:rPr>
          <w:rFonts w:asciiTheme="majorBidi" w:hAnsiTheme="majorBidi" w:cstheme="majorBidi"/>
        </w:rPr>
        <w:t xml:space="preserve"> </w:t>
      </w:r>
    </w:p>
    <w:p w14:paraId="4B9AD1B1" w14:textId="77777777" w:rsidR="00B94750" w:rsidRPr="00DE3AD3"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Menurut I Djumhur dan Danasuparta melihat organisasi di Jawa, Surau dan Rangkang di Sumatra, ini memiliki banyak kesamaan dengan sistem asrama India (sistem Guru Kulo). Ada dugaan kuat bahwa Lembaga semacam itu sudah ada jauh sebelum islam masuk di Indonesia. Pendapat tersebut menjelaskan, bahwa sistem pesantren berasal dari India dan bukan dari Arab atau Mekkah. Adapun tokoh lain yang memiliki pendapat seperti diatas adalah Karel A. Steenbrink dalam bukunya Pesantren, Madrasah, dan Sekolah. Ia meninjau Kembali asal mula sistem pesantren dari segi terminologi. Menurutnya istilah pesantren itu sendiri seperti halnya mengaji bukanlah berasal dari istilah Arab, melainkan dari India. Demikian pula istilah pondok di Jawa, Surau di Minangkabau dan Rangkang di Aceh bukanlah berasal dari Arab melainkan berasal dari India.</w:t>
      </w:r>
    </w:p>
    <w:p w14:paraId="0D6B4A4C" w14:textId="40448119" w:rsidR="00B94750"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Pesantren adalah Lembaga yang berakar pada tradisi lokal Indonesia atau nusantara. Perenungan adalah budaya yang mandiri karena berakar pada Lembaga pendidikan agama lokal yang lebih tua di kerajaan majapahit, dimaksudkan untuk lembaga pendidikan agama. Keberadaan tokoh – tokoh muslim ditandai dengan kedalaman ilmu agama yang dipahami masyarakat sekitar atau adanya karya – karya fenomenal yang merupakan hasil pengajaran kitab – kitab agama tingkat tinggi dan bukan sekedar kitab – kitab ilmu dasar agama atau adanya karya tulis tentang ilmu agama islam sebuah kerajaan agama islam kuno dan penyebaran islamisasi yang ditandai dengan kehadiran tokoh – tokoh muslim dari wilayah tersebut, selanjutnya memberikan petunjuk yang diperkuat dengan berdirinya lembaga pendidikan islam seperti pesantren.</w:t>
      </w:r>
      <w:r w:rsidRPr="00DE3AD3">
        <w:rPr>
          <w:rStyle w:val="FootnoteReference"/>
          <w:rFonts w:asciiTheme="majorBidi" w:hAnsiTheme="majorBidi" w:cstheme="majorBidi"/>
        </w:rPr>
        <w:footnoteReference w:id="8"/>
      </w:r>
    </w:p>
    <w:p w14:paraId="1F19625E" w14:textId="77777777" w:rsidR="00B94750" w:rsidRPr="00DE3AD3" w:rsidRDefault="00B94750" w:rsidP="00B94750">
      <w:pPr>
        <w:pStyle w:val="ListParagraph"/>
        <w:spacing w:line="360" w:lineRule="auto"/>
        <w:ind w:firstLine="720"/>
        <w:jc w:val="both"/>
        <w:rPr>
          <w:rFonts w:asciiTheme="majorBidi" w:hAnsiTheme="majorBidi" w:cstheme="majorBidi"/>
        </w:rPr>
      </w:pPr>
    </w:p>
    <w:p w14:paraId="680DF4AA" w14:textId="77777777" w:rsidR="00B94750" w:rsidRPr="00DE3AD3" w:rsidRDefault="00B94750" w:rsidP="00B94750">
      <w:pPr>
        <w:pStyle w:val="ListParagraph"/>
        <w:spacing w:line="360" w:lineRule="auto"/>
        <w:jc w:val="both"/>
        <w:rPr>
          <w:rFonts w:asciiTheme="majorBidi" w:hAnsiTheme="majorBidi" w:cstheme="majorBidi"/>
        </w:rPr>
      </w:pPr>
    </w:p>
    <w:p w14:paraId="7A6FFA4A" w14:textId="77777777" w:rsidR="00B94750" w:rsidRDefault="00B94750" w:rsidP="00B94750">
      <w:pPr>
        <w:pStyle w:val="ListParagraph"/>
        <w:numPr>
          <w:ilvl w:val="0"/>
          <w:numId w:val="3"/>
        </w:numPr>
        <w:spacing w:after="160" w:line="360" w:lineRule="auto"/>
        <w:contextualSpacing/>
        <w:jc w:val="both"/>
        <w:rPr>
          <w:rFonts w:asciiTheme="majorBidi" w:hAnsiTheme="majorBidi" w:cstheme="majorBidi"/>
          <w:b/>
          <w:bCs/>
        </w:rPr>
      </w:pPr>
      <w:r w:rsidRPr="00DE3AD3">
        <w:rPr>
          <w:rFonts w:asciiTheme="majorBidi" w:hAnsiTheme="majorBidi" w:cstheme="majorBidi"/>
          <w:b/>
          <w:bCs/>
        </w:rPr>
        <w:t xml:space="preserve">Unsur-unsur dan klasifikasi pondok pesantren </w:t>
      </w:r>
    </w:p>
    <w:p w14:paraId="34E1F599" w14:textId="77777777" w:rsidR="00B94750"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 xml:space="preserve">Zamakhsyari Dlofer mengemukakan lima unsur pondok pesantren yang </w:t>
      </w:r>
      <w:r>
        <w:rPr>
          <w:rFonts w:asciiTheme="majorBidi" w:hAnsiTheme="majorBidi" w:cstheme="majorBidi"/>
          <w:lang w:val="id-ID"/>
        </w:rPr>
        <w:t xml:space="preserve">terkait dengannya, antara lain kiai, santri, masjid, dan pengajaran kitab – kitab klasik. </w:t>
      </w:r>
      <w:r>
        <w:rPr>
          <w:rFonts w:asciiTheme="majorBidi" w:hAnsiTheme="majorBidi" w:cstheme="majorBidi"/>
          <w:b/>
          <w:bCs/>
          <w:i/>
          <w:iCs/>
        </w:rPr>
        <w:t xml:space="preserve">Pertama, </w:t>
      </w:r>
      <w:r>
        <w:rPr>
          <w:rFonts w:asciiTheme="majorBidi" w:hAnsiTheme="majorBidi" w:cstheme="majorBidi"/>
        </w:rPr>
        <w:t>K</w:t>
      </w:r>
      <w:r w:rsidRPr="00247CF9">
        <w:rPr>
          <w:rFonts w:asciiTheme="majorBidi" w:hAnsiTheme="majorBidi" w:cstheme="majorBidi"/>
        </w:rPr>
        <w:t>iai</w:t>
      </w:r>
      <w:r>
        <w:rPr>
          <w:rFonts w:asciiTheme="majorBidi" w:hAnsiTheme="majorBidi" w:cstheme="majorBidi"/>
        </w:rPr>
        <w:t xml:space="preserve"> yang merupakan c</w:t>
      </w:r>
      <w:r w:rsidRPr="00247CF9">
        <w:rPr>
          <w:rFonts w:asciiTheme="majorBidi" w:hAnsiTheme="majorBidi" w:cstheme="majorBidi"/>
        </w:rPr>
        <w:t>iri paling mendasar dari pesantren. Kiai pada dasarnya adalah gelar yang diberikan oleh seorang yang berilmu di</w:t>
      </w:r>
      <w:r>
        <w:rPr>
          <w:rFonts w:asciiTheme="majorBidi" w:hAnsiTheme="majorBidi" w:cstheme="majorBidi"/>
        </w:rPr>
        <w:t xml:space="preserve"> </w:t>
      </w:r>
      <w:r w:rsidRPr="00247CF9">
        <w:rPr>
          <w:rFonts w:asciiTheme="majorBidi" w:hAnsiTheme="majorBidi" w:cstheme="majorBidi"/>
        </w:rPr>
        <w:t>bidang agama islam. Di</w:t>
      </w:r>
      <w:r>
        <w:rPr>
          <w:rFonts w:asciiTheme="majorBidi" w:hAnsiTheme="majorBidi" w:cstheme="majorBidi"/>
        </w:rPr>
        <w:t xml:space="preserve"> </w:t>
      </w:r>
      <w:r w:rsidRPr="00247CF9">
        <w:rPr>
          <w:rFonts w:asciiTheme="majorBidi" w:hAnsiTheme="majorBidi" w:cstheme="majorBidi"/>
        </w:rPr>
        <w:t>dalam agama islam keberadaan kiai di pesantren sangat sentral. Sebuah Lembaga pendidikan islam disebut pesantren jika memiliki kepribadian yang luar biasa disebut kiai, maka kiai dalam dunia pesantren adalah penggerak dan pengembangan pesantren dalam pola yang diinginkan. Jadi kemajuan dan kemunduran pesantren sebenarnya terletak pada kemampuan kiai dalam mengelola operasional atau penyelenggaraan pendidikan di pesantren.</w:t>
      </w:r>
      <w:r>
        <w:rPr>
          <w:rFonts w:asciiTheme="majorBidi" w:hAnsiTheme="majorBidi" w:cstheme="majorBidi"/>
          <w:lang w:val="id-ID"/>
        </w:rPr>
        <w:t xml:space="preserve"> </w:t>
      </w:r>
      <w:r>
        <w:rPr>
          <w:rFonts w:asciiTheme="majorBidi" w:hAnsiTheme="majorBidi" w:cstheme="majorBidi"/>
          <w:b/>
          <w:bCs/>
          <w:i/>
          <w:iCs/>
        </w:rPr>
        <w:t>Kedua,</w:t>
      </w:r>
      <w:r>
        <w:rPr>
          <w:rFonts w:asciiTheme="majorBidi" w:hAnsiTheme="majorBidi" w:cstheme="majorBidi"/>
          <w:lang w:val="id-ID"/>
        </w:rPr>
        <w:t xml:space="preserve"> santri.</w:t>
      </w:r>
      <w:r w:rsidRPr="00247CF9">
        <w:rPr>
          <w:rFonts w:asciiTheme="majorBidi" w:hAnsiTheme="majorBidi" w:cstheme="majorBidi"/>
        </w:rPr>
        <w:t xml:space="preserve"> Istilah santri hanya terdapat pada pesantren sebagai tanda santri yang haus ilmu yang dimiliki oleh seorang kiai yang memimpin pesantren. Jadi santri pada dasarnya erat kaitannya dengan keberadaan kiai dan pesantren. menurut tradisi pesantren</w:t>
      </w:r>
      <w:r>
        <w:rPr>
          <w:rFonts w:asciiTheme="majorBidi" w:hAnsiTheme="majorBidi" w:cstheme="majorBidi"/>
          <w:lang w:val="id-ID"/>
        </w:rPr>
        <w:t>,</w:t>
      </w:r>
      <w:r w:rsidRPr="00247CF9">
        <w:rPr>
          <w:rFonts w:asciiTheme="majorBidi" w:hAnsiTheme="majorBidi" w:cstheme="majorBidi"/>
        </w:rPr>
        <w:t xml:space="preserve"> ada dua tipe santri di </w:t>
      </w:r>
      <w:r>
        <w:rPr>
          <w:rFonts w:asciiTheme="majorBidi" w:hAnsiTheme="majorBidi" w:cstheme="majorBidi"/>
          <w:lang w:val="id-ID"/>
        </w:rPr>
        <w:t xml:space="preserve">kalangan masyarakat </w:t>
      </w:r>
      <w:r w:rsidRPr="00247CF9">
        <w:rPr>
          <w:rFonts w:asciiTheme="majorBidi" w:hAnsiTheme="majorBidi" w:cstheme="majorBidi"/>
        </w:rPr>
        <w:t>pesantren yaitu</w:t>
      </w:r>
      <w:r>
        <w:rPr>
          <w:rFonts w:asciiTheme="majorBidi" w:hAnsiTheme="majorBidi" w:cstheme="majorBidi"/>
          <w:lang w:val="id-ID"/>
        </w:rPr>
        <w:t xml:space="preserve">: </w:t>
      </w:r>
      <w:r w:rsidRPr="00DE3AD3">
        <w:rPr>
          <w:rFonts w:asciiTheme="majorBidi" w:hAnsiTheme="majorBidi" w:cstheme="majorBidi"/>
        </w:rPr>
        <w:t>Santri Mukim</w:t>
      </w:r>
      <w:r>
        <w:rPr>
          <w:rFonts w:asciiTheme="majorBidi" w:hAnsiTheme="majorBidi" w:cstheme="majorBidi"/>
          <w:lang w:val="id-ID"/>
        </w:rPr>
        <w:t xml:space="preserve"> dan Santri Kalong. Yang dimaksud </w:t>
      </w:r>
      <w:r w:rsidRPr="00247CF9">
        <w:rPr>
          <w:rFonts w:asciiTheme="majorBidi" w:hAnsiTheme="majorBidi" w:cstheme="majorBidi"/>
          <w:lang w:val="id-ID"/>
        </w:rPr>
        <w:t>Santri mukim yaitu santri yang menetap tinggal bersama kiai dan secara aktif menuntut ilmu dari seorang kiai, dapat juga secara langsung sebagai pengurus pesantren yang ikut bertanggung jawab atas keberadaan santri lain.</w:t>
      </w:r>
      <w:r>
        <w:rPr>
          <w:rFonts w:asciiTheme="majorBidi" w:hAnsiTheme="majorBidi" w:cstheme="majorBidi"/>
          <w:lang w:val="id-ID"/>
        </w:rPr>
        <w:t xml:space="preserve"> Sedangkan </w:t>
      </w:r>
      <w:r w:rsidRPr="00247CF9">
        <w:rPr>
          <w:rFonts w:asciiTheme="majorBidi" w:hAnsiTheme="majorBidi" w:cstheme="majorBidi"/>
          <w:lang w:val="id-ID"/>
        </w:rPr>
        <w:t xml:space="preserve">Santri kalong pada dasarnya adalah seorang murid yang berasal dari desa sekitar pondok pesantren yang pola belajarnya tidak dengan jalan menetap di dalam pondok pesantren. melainkan semata-mata belajar dan secara langsung pulang kerumah setelah belajar di pesantren. </w:t>
      </w:r>
      <w:r w:rsidRPr="00247CF9">
        <w:rPr>
          <w:rFonts w:asciiTheme="majorBidi" w:hAnsiTheme="majorBidi" w:cstheme="majorBidi"/>
        </w:rPr>
        <w:t xml:space="preserve">Sebuah pesanten yang besar di dukung oleh semakin banyaknya santri yang mukim dalam pesantren, disamping terdapat pula santri yang kalong yang tidak banyak jumlahnya. </w:t>
      </w:r>
      <w:r w:rsidRPr="006B28B8">
        <w:rPr>
          <w:rFonts w:asciiTheme="majorBidi" w:hAnsiTheme="majorBidi" w:cstheme="majorBidi"/>
          <w:lang w:val="id-ID"/>
        </w:rPr>
        <w:t>Adapun berdasarkan motivasi dan kualitas santri, santri dapat dikelompokkan menjadi 3 kelompok yaitu</w:t>
      </w:r>
      <w:r w:rsidRPr="006B28B8">
        <w:rPr>
          <w:rFonts w:asciiTheme="majorBidi" w:hAnsiTheme="majorBidi" w:cstheme="majorBidi"/>
        </w:rPr>
        <w:t>:</w:t>
      </w:r>
      <w:r w:rsidRPr="00DE3AD3">
        <w:rPr>
          <w:rStyle w:val="FootnoteReference"/>
          <w:rFonts w:asciiTheme="majorBidi" w:hAnsiTheme="majorBidi" w:cstheme="majorBidi"/>
        </w:rPr>
        <w:footnoteReference w:id="9"/>
      </w:r>
      <w:r w:rsidRPr="006B28B8">
        <w:rPr>
          <w:rFonts w:asciiTheme="majorBidi" w:hAnsiTheme="majorBidi" w:cstheme="majorBidi"/>
          <w:lang w:val="id-ID"/>
        </w:rPr>
        <w:t xml:space="preserve"> </w:t>
      </w:r>
      <w:r w:rsidRPr="006B28B8">
        <w:rPr>
          <w:rFonts w:asciiTheme="majorBidi" w:hAnsiTheme="majorBidi" w:cstheme="majorBidi"/>
        </w:rPr>
        <w:t>(1) Santri yang betul-betul santri, menuntut ilmu untuk diamalkan sebagaimana lazimnya;</w:t>
      </w:r>
      <w:r w:rsidRPr="006B28B8">
        <w:rPr>
          <w:rFonts w:asciiTheme="majorBidi" w:hAnsiTheme="majorBidi" w:cstheme="majorBidi"/>
          <w:lang w:val="id-ID"/>
        </w:rPr>
        <w:t xml:space="preserve"> </w:t>
      </w:r>
      <w:r w:rsidRPr="006B28B8">
        <w:rPr>
          <w:rFonts w:asciiTheme="majorBidi" w:hAnsiTheme="majorBidi" w:cstheme="majorBidi"/>
        </w:rPr>
        <w:t>(2) Santri yang diantar orangtuanya atau walinya ke pesantren dengan maksud semata-mata untuk melepaskan dirinya dari kenakalan anaknya;</w:t>
      </w:r>
      <w:r w:rsidRPr="006B28B8">
        <w:rPr>
          <w:rFonts w:asciiTheme="majorBidi" w:hAnsiTheme="majorBidi" w:cstheme="majorBidi"/>
          <w:lang w:val="id-ID"/>
        </w:rPr>
        <w:t xml:space="preserve"> dan </w:t>
      </w:r>
      <w:r w:rsidRPr="006B28B8">
        <w:rPr>
          <w:rFonts w:asciiTheme="majorBidi" w:hAnsiTheme="majorBidi" w:cstheme="majorBidi"/>
        </w:rPr>
        <w:t>(3) Santri yang hanya ikut-ikutan saja.</w:t>
      </w:r>
    </w:p>
    <w:p w14:paraId="5B97CD37" w14:textId="77777777" w:rsidR="00B94750" w:rsidRPr="006B28B8" w:rsidRDefault="00B94750" w:rsidP="00B94750">
      <w:pPr>
        <w:pStyle w:val="ListParagraph"/>
        <w:spacing w:line="360" w:lineRule="auto"/>
        <w:ind w:firstLine="720"/>
        <w:jc w:val="both"/>
        <w:rPr>
          <w:rFonts w:asciiTheme="majorBidi" w:hAnsiTheme="majorBidi" w:cstheme="majorBidi"/>
        </w:rPr>
      </w:pPr>
      <w:r>
        <w:rPr>
          <w:rFonts w:asciiTheme="majorBidi" w:hAnsiTheme="majorBidi" w:cstheme="majorBidi"/>
          <w:b/>
          <w:bCs/>
          <w:i/>
          <w:iCs/>
        </w:rPr>
        <w:t xml:space="preserve">Ketiga, </w:t>
      </w:r>
      <w:r>
        <w:rPr>
          <w:rFonts w:asciiTheme="majorBidi" w:hAnsiTheme="majorBidi" w:cstheme="majorBidi"/>
        </w:rPr>
        <w:t xml:space="preserve">Pondok. </w:t>
      </w:r>
      <w:r w:rsidRPr="006B28B8">
        <w:rPr>
          <w:rFonts w:asciiTheme="majorBidi" w:hAnsiTheme="majorBidi" w:cstheme="majorBidi"/>
        </w:rPr>
        <w:t>Istilah pondok diartikan juga dengan asrama, dengan demikian pondok mengandung makna sebagai tempat tinggal. Sebuah pesantren harus memiliki asrama tempa tinggal santri dan kiai, di tempat tersebut selalu terjadi komunikasi antara santri dan kiai.</w:t>
      </w:r>
      <w:r>
        <w:rPr>
          <w:rFonts w:asciiTheme="majorBidi" w:hAnsiTheme="majorBidi" w:cstheme="majorBidi"/>
        </w:rPr>
        <w:t xml:space="preserve"> </w:t>
      </w:r>
      <w:r>
        <w:rPr>
          <w:rFonts w:asciiTheme="majorBidi" w:hAnsiTheme="majorBidi" w:cstheme="majorBidi"/>
          <w:b/>
          <w:bCs/>
          <w:i/>
          <w:iCs/>
        </w:rPr>
        <w:t xml:space="preserve">Keempat, </w:t>
      </w:r>
      <w:r>
        <w:rPr>
          <w:rFonts w:asciiTheme="majorBidi" w:hAnsiTheme="majorBidi" w:cstheme="majorBidi"/>
        </w:rPr>
        <w:t xml:space="preserve">Masjid. </w:t>
      </w:r>
      <w:r w:rsidRPr="006B28B8">
        <w:rPr>
          <w:rFonts w:asciiTheme="majorBidi" w:hAnsiTheme="majorBidi" w:cstheme="majorBidi"/>
        </w:rPr>
        <w:t>Pendidikan dalam Islam memiliki hubungan yang sangat erat dengan masjid, kaum muslim telah memanfaatkan masjid sebagai tempat ibadah dan sebagai lembaga pendidikan dan pengetahuan Islam. Masjid merupakan salah satu tempat mendidik ulama’, disamping madrasah, pesantren, dan sekolah dengan sistem klasikal. Masjid biasanya menjadi cikal bakal pengembangan pondok pesantren. Seorang kiai yang ingin mengembangkan pondok pesantren biasanya pertama-tama mendirikan masjid sebagai tempat aktifitas peribadatan dan pendidikan.</w:t>
      </w:r>
      <w:r>
        <w:rPr>
          <w:rFonts w:asciiTheme="majorBidi" w:hAnsiTheme="majorBidi" w:cstheme="majorBidi"/>
          <w:b/>
          <w:bCs/>
          <w:i/>
          <w:iCs/>
        </w:rPr>
        <w:t xml:space="preserve"> Kelima, </w:t>
      </w:r>
      <w:r w:rsidRPr="006B28B8">
        <w:rPr>
          <w:rFonts w:asciiTheme="majorBidi" w:hAnsiTheme="majorBidi" w:cstheme="majorBidi"/>
        </w:rPr>
        <w:t xml:space="preserve">Pengajaran </w:t>
      </w:r>
      <w:r>
        <w:rPr>
          <w:rFonts w:asciiTheme="majorBidi" w:hAnsiTheme="majorBidi" w:cstheme="majorBidi"/>
        </w:rPr>
        <w:t>kitab-kitab klasik</w:t>
      </w:r>
      <w:r w:rsidRPr="006B28B8">
        <w:rPr>
          <w:rFonts w:asciiTheme="majorBidi" w:hAnsiTheme="majorBidi" w:cstheme="majorBidi"/>
        </w:rPr>
        <w:t xml:space="preserve"> </w:t>
      </w:r>
      <w:r>
        <w:rPr>
          <w:rFonts w:asciiTheme="majorBidi" w:hAnsiTheme="majorBidi" w:cstheme="majorBidi"/>
        </w:rPr>
        <w:t>atau d</w:t>
      </w:r>
      <w:r w:rsidRPr="006B28B8">
        <w:rPr>
          <w:rFonts w:asciiTheme="majorBidi" w:hAnsiTheme="majorBidi" w:cstheme="majorBidi"/>
        </w:rPr>
        <w:t xml:space="preserve">ikenal dengan istilah kitab-kitab kuning </w:t>
      </w:r>
      <w:r>
        <w:rPr>
          <w:rFonts w:asciiTheme="majorBidi" w:hAnsiTheme="majorBidi" w:cstheme="majorBidi"/>
        </w:rPr>
        <w:t>karena</w:t>
      </w:r>
      <w:r w:rsidRPr="006B28B8">
        <w:rPr>
          <w:rFonts w:asciiTheme="majorBidi" w:hAnsiTheme="majorBidi" w:cstheme="majorBidi"/>
        </w:rPr>
        <w:t xml:space="preserve"> terpengaruh warna kertas. Kitab-kitab yang ditulis oleh ulama’ zaman dulu yang berisikan tentang ilmu keIslaman seperti, fiqih, hadits, tafsir, maupun tentang akhlak.</w:t>
      </w:r>
      <w:r w:rsidRPr="00DE3AD3">
        <w:rPr>
          <w:rStyle w:val="FootnoteReference"/>
          <w:rFonts w:asciiTheme="majorBidi" w:hAnsiTheme="majorBidi" w:cstheme="majorBidi"/>
        </w:rPr>
        <w:footnoteReference w:id="10"/>
      </w:r>
    </w:p>
    <w:p w14:paraId="69A8A0A1" w14:textId="77777777" w:rsidR="00B94750" w:rsidRPr="006B28B8" w:rsidRDefault="00B94750" w:rsidP="00B94750">
      <w:pPr>
        <w:spacing w:line="360" w:lineRule="auto"/>
        <w:ind w:left="720" w:firstLine="720"/>
        <w:jc w:val="both"/>
        <w:rPr>
          <w:rFonts w:asciiTheme="majorBidi" w:hAnsiTheme="majorBidi" w:cstheme="majorBidi"/>
        </w:rPr>
      </w:pPr>
      <w:r w:rsidRPr="00DE3AD3">
        <w:rPr>
          <w:rFonts w:asciiTheme="majorBidi" w:hAnsiTheme="majorBidi" w:cstheme="majorBidi"/>
        </w:rPr>
        <w:t>Secara garis besar pesantren di Indonesia, menurut beberapa pengamat, dapat diklasifikasikan ke dalam beberapa jenis</w:t>
      </w:r>
      <w:r>
        <w:rPr>
          <w:rFonts w:asciiTheme="majorBidi" w:hAnsiTheme="majorBidi" w:cstheme="majorBidi"/>
        </w:rPr>
        <w:t>.</w:t>
      </w:r>
      <w:r w:rsidRPr="00DE3AD3">
        <w:rPr>
          <w:rStyle w:val="FootnoteReference"/>
          <w:rFonts w:asciiTheme="majorBidi" w:hAnsiTheme="majorBidi" w:cstheme="majorBidi"/>
        </w:rPr>
        <w:footnoteReference w:id="11"/>
      </w:r>
      <w:r>
        <w:rPr>
          <w:rFonts w:asciiTheme="majorBidi" w:hAnsiTheme="majorBidi" w:cstheme="majorBidi"/>
        </w:rPr>
        <w:t xml:space="preserve"> </w:t>
      </w:r>
      <w:r w:rsidRPr="006B28B8">
        <w:rPr>
          <w:rFonts w:asciiTheme="majorBidi" w:hAnsiTheme="majorBidi" w:cstheme="majorBidi"/>
        </w:rPr>
        <w:t>Manfred Ziemek, mengklasifikasikan pesantren menjadi lima tipe, yaitu:</w:t>
      </w:r>
      <w:r>
        <w:rPr>
          <w:rFonts w:asciiTheme="majorBidi" w:hAnsiTheme="majorBidi" w:cstheme="majorBidi"/>
        </w:rPr>
        <w:t xml:space="preserve"> (1)</w:t>
      </w:r>
      <w:r w:rsidRPr="006B28B8">
        <w:rPr>
          <w:rFonts w:asciiTheme="majorBidi" w:hAnsiTheme="majorBidi" w:cstheme="majorBidi"/>
        </w:rPr>
        <w:t>Pesantren jenis A, yaitu pesantre</w:t>
      </w:r>
      <w:r>
        <w:rPr>
          <w:rFonts w:asciiTheme="majorBidi" w:hAnsiTheme="majorBidi" w:cstheme="majorBidi"/>
        </w:rPr>
        <w:t>n yang hanya terdiri dari unsur</w:t>
      </w:r>
      <w:r w:rsidRPr="006B28B8">
        <w:rPr>
          <w:rFonts w:asciiTheme="majorBidi" w:hAnsiTheme="majorBidi" w:cstheme="majorBidi"/>
        </w:rPr>
        <w:t xml:space="preserve"> masjid dan rumah kiai;</w:t>
      </w:r>
      <w:r>
        <w:rPr>
          <w:rFonts w:asciiTheme="majorBidi" w:hAnsiTheme="majorBidi" w:cstheme="majorBidi"/>
        </w:rPr>
        <w:t xml:space="preserve"> (2)</w:t>
      </w:r>
      <w:r w:rsidRPr="006B28B8">
        <w:rPr>
          <w:rFonts w:asciiTheme="majorBidi" w:hAnsiTheme="majorBidi" w:cstheme="majorBidi"/>
        </w:rPr>
        <w:t>Pesantren jenis B, yaitu pesantren yang memiliki masjid, rumah kiai, dan pondok;</w:t>
      </w:r>
      <w:r>
        <w:rPr>
          <w:rFonts w:asciiTheme="majorBidi" w:hAnsiTheme="majorBidi" w:cstheme="majorBidi"/>
        </w:rPr>
        <w:t xml:space="preserve"> (3)</w:t>
      </w:r>
      <w:r w:rsidRPr="006B28B8">
        <w:rPr>
          <w:rFonts w:asciiTheme="majorBidi" w:hAnsiTheme="majorBidi" w:cstheme="majorBidi"/>
        </w:rPr>
        <w:t>Pesantren jenis C, yaitu pesantren yang terdiri dari masjid, rumah kiai, asrama atau pondok, dan madrasah;</w:t>
      </w:r>
      <w:r>
        <w:rPr>
          <w:rFonts w:asciiTheme="majorBidi" w:hAnsiTheme="majorBidi" w:cstheme="majorBidi"/>
        </w:rPr>
        <w:t xml:space="preserve"> (4)</w:t>
      </w:r>
      <w:r w:rsidRPr="006B28B8">
        <w:rPr>
          <w:rFonts w:asciiTheme="majorBidi" w:hAnsiTheme="majorBidi" w:cstheme="majorBidi"/>
        </w:rPr>
        <w:t>Pesantren jenis D, yaitu pesantren yang sudah terdiri dari bebe rapa unsur yaitu masjid, rumah kiai, asrama, madrasah ditambah pendidikan keterampilan, program pertanian, dan lain-lain; dan</w:t>
      </w:r>
      <w:r>
        <w:rPr>
          <w:rFonts w:asciiTheme="majorBidi" w:hAnsiTheme="majorBidi" w:cstheme="majorBidi"/>
        </w:rPr>
        <w:t xml:space="preserve"> (5)</w:t>
      </w:r>
      <w:r w:rsidRPr="006B28B8">
        <w:rPr>
          <w:rFonts w:asciiTheme="majorBidi" w:hAnsiTheme="majorBidi" w:cstheme="majorBidi"/>
        </w:rPr>
        <w:t>Pesantren jenis E, yaitu pesantren jenis modern, yang terdiri dari beberapa elemen, yaitu masjid, rumah kiai, pondok, madrasah dan universitas.</w:t>
      </w:r>
      <w:r>
        <w:rPr>
          <w:rFonts w:asciiTheme="majorBidi" w:hAnsiTheme="majorBidi" w:cstheme="majorBidi"/>
        </w:rPr>
        <w:t xml:space="preserve"> Sedangkan Zamakhsyari Dhofier</w:t>
      </w:r>
      <w:r w:rsidRPr="006B28B8">
        <w:rPr>
          <w:rFonts w:asciiTheme="majorBidi" w:hAnsiTheme="majorBidi" w:cstheme="majorBidi"/>
        </w:rPr>
        <w:t xml:space="preserve"> membagi pesantren menjadi dua bagian besar yaitu:</w:t>
      </w:r>
      <w:r>
        <w:rPr>
          <w:rFonts w:asciiTheme="majorBidi" w:hAnsiTheme="majorBidi" w:cstheme="majorBidi"/>
        </w:rPr>
        <w:t xml:space="preserve"> (</w:t>
      </w:r>
      <w:proofErr w:type="gramStart"/>
      <w:r>
        <w:rPr>
          <w:rFonts w:asciiTheme="majorBidi" w:hAnsiTheme="majorBidi" w:cstheme="majorBidi"/>
        </w:rPr>
        <w:t>1)</w:t>
      </w:r>
      <w:r w:rsidRPr="006B28B8">
        <w:rPr>
          <w:rFonts w:asciiTheme="majorBidi" w:hAnsiTheme="majorBidi" w:cstheme="majorBidi"/>
        </w:rPr>
        <w:t>Pesantren</w:t>
      </w:r>
      <w:proofErr w:type="gramEnd"/>
      <w:r w:rsidRPr="006B28B8">
        <w:rPr>
          <w:rFonts w:asciiTheme="majorBidi" w:hAnsiTheme="majorBidi" w:cstheme="majorBidi"/>
        </w:rPr>
        <w:t xml:space="preserve"> salaf yang tetap mempertahankan pengajaran kitab kitab klasik sebagai inti pendidikan pesantren. Sistem madrasah ditetapkan untuk memudahkan sistem sorogan dan bandongan yang dipakai dalam lembaga-lembaga pengajian bentuk lama, tanpa mengenalkan pengajaran pengetahuan umum; dan</w:t>
      </w:r>
      <w:r>
        <w:rPr>
          <w:rFonts w:asciiTheme="majorBidi" w:hAnsiTheme="majorBidi" w:cstheme="majorBidi"/>
        </w:rPr>
        <w:t xml:space="preserve"> (</w:t>
      </w:r>
      <w:proofErr w:type="gramStart"/>
      <w:r>
        <w:rPr>
          <w:rFonts w:asciiTheme="majorBidi" w:hAnsiTheme="majorBidi" w:cstheme="majorBidi"/>
        </w:rPr>
        <w:t>2)</w:t>
      </w:r>
      <w:r w:rsidRPr="006B28B8">
        <w:rPr>
          <w:rFonts w:asciiTheme="majorBidi" w:hAnsiTheme="majorBidi" w:cstheme="majorBidi"/>
        </w:rPr>
        <w:t>Pesantren</w:t>
      </w:r>
      <w:proofErr w:type="gramEnd"/>
      <w:r w:rsidRPr="006B28B8">
        <w:rPr>
          <w:rFonts w:asciiTheme="majorBidi" w:hAnsiTheme="majorBidi" w:cstheme="majorBidi"/>
        </w:rPr>
        <w:t xml:space="preserve"> khalafi yang telah memasukkan pelajaran-pelajaran umum dalam madrasah yang dikembangkannya, atau membuka tipe sekolah umum dalam lingkungan pesantren.</w:t>
      </w:r>
    </w:p>
    <w:p w14:paraId="05271EAD" w14:textId="77777777" w:rsidR="00B94750" w:rsidRPr="00E1146D" w:rsidRDefault="00B94750" w:rsidP="00B94750">
      <w:pPr>
        <w:spacing w:line="360" w:lineRule="auto"/>
        <w:ind w:left="720" w:firstLine="720"/>
        <w:jc w:val="both"/>
        <w:rPr>
          <w:rFonts w:asciiTheme="majorBidi" w:hAnsiTheme="majorBidi" w:cstheme="majorBidi"/>
        </w:rPr>
      </w:pPr>
      <w:r w:rsidRPr="00DE3AD3">
        <w:rPr>
          <w:rFonts w:asciiTheme="majorBidi" w:hAnsiTheme="majorBidi" w:cstheme="majorBidi"/>
        </w:rPr>
        <w:t>Pada garis besarnya pesantren dapat dibedakan menjadi dua kelompok, yaitu:</w:t>
      </w:r>
      <w:r>
        <w:rPr>
          <w:rFonts w:asciiTheme="majorBidi" w:hAnsiTheme="majorBidi" w:cstheme="majorBidi"/>
        </w:rPr>
        <w:t xml:space="preserve"> </w:t>
      </w:r>
      <w:r w:rsidRPr="006B28B8">
        <w:rPr>
          <w:rFonts w:asciiTheme="majorBidi" w:hAnsiTheme="majorBidi" w:cstheme="majorBidi"/>
        </w:rPr>
        <w:t>Pesantren tradisional, yang masih mempertahan kan sistem pengajaran tradisional dengan materi pengajaran kitab-kitab klasik dan sering disebut kitab kuning. Pesantren modern, yang mengintegrasikan secara penuh sistem klasikal dan sekolah ke dalam pondok pesantren.</w:t>
      </w:r>
    </w:p>
    <w:p w14:paraId="48D092B0" w14:textId="77777777" w:rsidR="00B94750" w:rsidRPr="00DE3AD3" w:rsidRDefault="00B94750" w:rsidP="00B94750">
      <w:pPr>
        <w:pStyle w:val="ListParagraph"/>
        <w:numPr>
          <w:ilvl w:val="0"/>
          <w:numId w:val="3"/>
        </w:numPr>
        <w:spacing w:after="160" w:line="360" w:lineRule="auto"/>
        <w:contextualSpacing/>
        <w:jc w:val="both"/>
        <w:rPr>
          <w:rFonts w:asciiTheme="majorBidi" w:hAnsiTheme="majorBidi" w:cstheme="majorBidi"/>
          <w:b/>
          <w:bCs/>
        </w:rPr>
      </w:pPr>
      <w:r>
        <w:rPr>
          <w:rFonts w:asciiTheme="majorBidi" w:hAnsiTheme="majorBidi" w:cstheme="majorBidi"/>
          <w:b/>
          <w:bCs/>
        </w:rPr>
        <w:t>Peran Pondok P</w:t>
      </w:r>
      <w:r w:rsidRPr="00DE3AD3">
        <w:rPr>
          <w:rFonts w:asciiTheme="majorBidi" w:hAnsiTheme="majorBidi" w:cstheme="majorBidi"/>
          <w:b/>
          <w:bCs/>
        </w:rPr>
        <w:t>esantren d</w:t>
      </w:r>
      <w:r>
        <w:rPr>
          <w:rFonts w:asciiTheme="majorBidi" w:hAnsiTheme="majorBidi" w:cstheme="majorBidi"/>
          <w:b/>
          <w:bCs/>
        </w:rPr>
        <w:t xml:space="preserve">i Tinjau dari Segi Aksiologi </w:t>
      </w:r>
    </w:p>
    <w:p w14:paraId="04983A7D" w14:textId="77777777" w:rsidR="00B94750" w:rsidRPr="00B75D75"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Pendidikan pondok pesantren sebagai bagian integral dari sistem pendidikan bangsa memiliki posisi strategis untuk mendukung tercapainya tujuan pendidikan nasional yaitu meningkatkan kualitas manusia Indonesia manusia Indonesia yang beriman dan bertakwa kepada Tuhan Yang Maha Esa berbudi pekerti luhur, berkepribadian mandiri, maju, tangguh, cerdas, kreatif, berdisiplin, terampil, beretos kerja, professional, bertanggung jawab, dan produktif serta sehat jasmani dan rohani. Sebagaimana Yang Sudah Tercantum Dalam UU No.20 Tahun 2003 Tentang Sistem Pendidikan Nasional.</w:t>
      </w:r>
      <w:r w:rsidRPr="00DE3AD3">
        <w:rPr>
          <w:rStyle w:val="FootnoteReference"/>
          <w:rFonts w:asciiTheme="majorBidi" w:hAnsiTheme="majorBidi" w:cstheme="majorBidi"/>
        </w:rPr>
        <w:footnoteReference w:id="12"/>
      </w:r>
      <w:r>
        <w:rPr>
          <w:rFonts w:asciiTheme="majorBidi" w:hAnsiTheme="majorBidi" w:cstheme="majorBidi"/>
          <w:lang w:val="id-ID"/>
        </w:rPr>
        <w:t xml:space="preserve"> </w:t>
      </w:r>
      <w:r w:rsidRPr="00B75D75">
        <w:rPr>
          <w:rFonts w:asciiTheme="majorBidi" w:hAnsiTheme="majorBidi" w:cstheme="majorBidi"/>
        </w:rPr>
        <w:t>M. Kamal Hasan mengungkapkan bahwa sementara sistem pondok dengan sangat cepat berada dalam posisi berbahaya di Malaysia, Muangthai, dan Filipina, di Indonesia pondok pesantren yang jumlahnya puluhan ribu masih terus berkembang dan menyediakan pelajaran agama bagi lebih dari lima juta murid.</w:t>
      </w:r>
      <w:r w:rsidRPr="00DE3AD3">
        <w:rPr>
          <w:rStyle w:val="FootnoteReference"/>
          <w:rFonts w:asciiTheme="majorBidi" w:hAnsiTheme="majorBidi" w:cstheme="majorBidi"/>
        </w:rPr>
        <w:footnoteReference w:id="13"/>
      </w:r>
      <w:r w:rsidRPr="00B75D75">
        <w:rPr>
          <w:rFonts w:asciiTheme="majorBidi" w:hAnsiTheme="majorBidi" w:cstheme="majorBidi"/>
        </w:rPr>
        <w:t xml:space="preserve"> Dari pernyataan tersebut dapat diketahui betapa besarnya andil pondok pesantren dalam mewujudkan tujuan sistem pendidikan nasional.</w:t>
      </w:r>
    </w:p>
    <w:p w14:paraId="5F088B00" w14:textId="77777777" w:rsidR="00B94750" w:rsidRPr="00B75D75"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Dalam sejarah pendidikan Indonesia, pendidikan pondok pesantren ikut menjadi pelopor dalam mencerdaskan kehidupan bangsa. Hal ini diperjelas oleh mantan Menteri Agama, H. Alamsyah Ratu Perwiranegara menuturkan bahwa pendidikan pondok pesantren dengan sistem asrama merupakan sistem paling baik dalam pendidikan dalam masa 24 jam anak didik diasuh oleh kyai dan pengasuh.</w:t>
      </w:r>
      <w:r>
        <w:rPr>
          <w:rFonts w:asciiTheme="majorBidi" w:hAnsiTheme="majorBidi" w:cstheme="majorBidi"/>
          <w:lang w:val="id-ID"/>
        </w:rPr>
        <w:t xml:space="preserve"> </w:t>
      </w:r>
      <w:r w:rsidRPr="00B75D75">
        <w:rPr>
          <w:rFonts w:asciiTheme="majorBidi" w:hAnsiTheme="majorBidi" w:cstheme="majorBidi"/>
        </w:rPr>
        <w:t>Pada era sekarang ini, pendidikan pesantren sangat berperan dalam membentuk insan-insan Indonesia yang beriman dan bertakwa, berbudi pekerti yang luhur, berkepribadian, mandiri, serta sehat jasmani dan rohaninya.</w:t>
      </w:r>
      <w:r w:rsidRPr="00DE3AD3">
        <w:rPr>
          <w:rStyle w:val="FootnoteReference"/>
          <w:rFonts w:asciiTheme="majorBidi" w:hAnsiTheme="majorBidi" w:cstheme="majorBidi"/>
        </w:rPr>
        <w:footnoteReference w:id="14"/>
      </w:r>
      <w:r w:rsidRPr="00B75D75">
        <w:rPr>
          <w:rFonts w:asciiTheme="majorBidi" w:hAnsiTheme="majorBidi" w:cstheme="majorBidi"/>
        </w:rPr>
        <w:t xml:space="preserve"> Peran-peran pondok pesantren yang multifungsi, yaitu: </w:t>
      </w:r>
    </w:p>
    <w:p w14:paraId="65C964AD" w14:textId="77777777" w:rsidR="00B94750" w:rsidRPr="00DE3AD3" w:rsidRDefault="00B94750" w:rsidP="00B94750">
      <w:pPr>
        <w:pStyle w:val="ListParagraph"/>
        <w:numPr>
          <w:ilvl w:val="0"/>
          <w:numId w:val="4"/>
        </w:numPr>
        <w:spacing w:after="200" w:line="360" w:lineRule="auto"/>
        <w:ind w:left="1134"/>
        <w:contextualSpacing/>
        <w:jc w:val="both"/>
        <w:rPr>
          <w:rFonts w:asciiTheme="majorBidi" w:hAnsiTheme="majorBidi" w:cstheme="majorBidi"/>
        </w:rPr>
      </w:pPr>
      <w:r w:rsidRPr="00DE3AD3">
        <w:rPr>
          <w:rFonts w:asciiTheme="majorBidi" w:hAnsiTheme="majorBidi" w:cstheme="majorBidi"/>
        </w:rPr>
        <w:t>Sebagai lembaga pendidikan keagamaan Islam.</w:t>
      </w:r>
    </w:p>
    <w:p w14:paraId="7A282D57" w14:textId="77777777" w:rsidR="00B94750" w:rsidRPr="00DE3AD3" w:rsidRDefault="00B94750" w:rsidP="00B94750">
      <w:pPr>
        <w:pStyle w:val="ListParagraph"/>
        <w:numPr>
          <w:ilvl w:val="0"/>
          <w:numId w:val="4"/>
        </w:numPr>
        <w:spacing w:after="200" w:line="360" w:lineRule="auto"/>
        <w:ind w:left="1134"/>
        <w:contextualSpacing/>
        <w:jc w:val="both"/>
        <w:rPr>
          <w:rFonts w:asciiTheme="majorBidi" w:hAnsiTheme="majorBidi" w:cstheme="majorBidi"/>
        </w:rPr>
      </w:pPr>
      <w:r w:rsidRPr="00DE3AD3">
        <w:rPr>
          <w:rFonts w:asciiTheme="majorBidi" w:hAnsiTheme="majorBidi" w:cstheme="majorBidi"/>
        </w:rPr>
        <w:t>Sebagai lembaga pengembangan intelektual sosial ekonomi dan IPTEK.</w:t>
      </w:r>
    </w:p>
    <w:p w14:paraId="72606368" w14:textId="77777777" w:rsidR="00B94750" w:rsidRPr="00DE3AD3" w:rsidRDefault="00B94750" w:rsidP="00B94750">
      <w:pPr>
        <w:pStyle w:val="ListParagraph"/>
        <w:numPr>
          <w:ilvl w:val="0"/>
          <w:numId w:val="4"/>
        </w:numPr>
        <w:spacing w:after="200" w:line="360" w:lineRule="auto"/>
        <w:ind w:left="1134"/>
        <w:contextualSpacing/>
        <w:jc w:val="both"/>
        <w:rPr>
          <w:rFonts w:asciiTheme="majorBidi" w:hAnsiTheme="majorBidi" w:cstheme="majorBidi"/>
        </w:rPr>
      </w:pPr>
      <w:r w:rsidRPr="00DE3AD3">
        <w:rPr>
          <w:rFonts w:asciiTheme="majorBidi" w:hAnsiTheme="majorBidi" w:cstheme="majorBidi"/>
        </w:rPr>
        <w:t>Sebagai lembaga wajib belajar pendidikan dasar sebagai lembaga pendidikan kesetaraan.</w:t>
      </w:r>
    </w:p>
    <w:p w14:paraId="76D26FE9" w14:textId="77777777" w:rsidR="00B94750" w:rsidRPr="00DE3AD3" w:rsidRDefault="00B94750" w:rsidP="00B94750">
      <w:pPr>
        <w:pStyle w:val="ListParagraph"/>
        <w:numPr>
          <w:ilvl w:val="0"/>
          <w:numId w:val="4"/>
        </w:numPr>
        <w:spacing w:after="200" w:line="360" w:lineRule="auto"/>
        <w:ind w:left="1134"/>
        <w:contextualSpacing/>
        <w:jc w:val="both"/>
        <w:rPr>
          <w:rFonts w:asciiTheme="majorBidi" w:hAnsiTheme="majorBidi" w:cstheme="majorBidi"/>
        </w:rPr>
      </w:pPr>
      <w:r w:rsidRPr="00DE3AD3">
        <w:rPr>
          <w:rFonts w:asciiTheme="majorBidi" w:hAnsiTheme="majorBidi" w:cstheme="majorBidi"/>
        </w:rPr>
        <w:t>Sebagai lembaga pendidikan tinggi.</w:t>
      </w:r>
    </w:p>
    <w:p w14:paraId="021C237A" w14:textId="77777777" w:rsidR="00B94750" w:rsidRPr="00DE3AD3" w:rsidRDefault="00B94750" w:rsidP="00B94750">
      <w:pPr>
        <w:pStyle w:val="ListParagraph"/>
        <w:numPr>
          <w:ilvl w:val="0"/>
          <w:numId w:val="4"/>
        </w:numPr>
        <w:spacing w:after="200" w:line="360" w:lineRule="auto"/>
        <w:ind w:left="1134"/>
        <w:contextualSpacing/>
        <w:jc w:val="both"/>
        <w:rPr>
          <w:rFonts w:asciiTheme="majorBidi" w:hAnsiTheme="majorBidi" w:cstheme="majorBidi"/>
        </w:rPr>
      </w:pPr>
      <w:r w:rsidRPr="00DE3AD3">
        <w:rPr>
          <w:rFonts w:asciiTheme="majorBidi" w:hAnsiTheme="majorBidi" w:cstheme="majorBidi"/>
        </w:rPr>
        <w:t xml:space="preserve">Sebagai lembaga pengembangan olahraga seni serta budaya dan pondok pesantren. </w:t>
      </w:r>
      <w:r w:rsidRPr="00DE3AD3">
        <w:rPr>
          <w:rStyle w:val="FootnoteReference"/>
          <w:rFonts w:asciiTheme="majorBidi" w:hAnsiTheme="majorBidi" w:cstheme="majorBidi"/>
        </w:rPr>
        <w:footnoteReference w:id="15"/>
      </w:r>
    </w:p>
    <w:p w14:paraId="18C2979D" w14:textId="0D98FE1A" w:rsidR="00B94750" w:rsidRPr="00B94750" w:rsidRDefault="00B94750" w:rsidP="00B94750">
      <w:pPr>
        <w:pStyle w:val="ListParagraph"/>
        <w:numPr>
          <w:ilvl w:val="0"/>
          <w:numId w:val="4"/>
        </w:numPr>
        <w:spacing w:after="200" w:line="360" w:lineRule="auto"/>
        <w:ind w:left="1134"/>
        <w:contextualSpacing/>
        <w:jc w:val="both"/>
        <w:rPr>
          <w:rFonts w:asciiTheme="majorBidi" w:hAnsiTheme="majorBidi" w:cstheme="majorBidi"/>
        </w:rPr>
      </w:pPr>
      <w:r w:rsidRPr="00DE3AD3">
        <w:rPr>
          <w:rFonts w:asciiTheme="majorBidi" w:hAnsiTheme="majorBidi" w:cstheme="majorBidi"/>
        </w:rPr>
        <w:t>Sebagai lembaga pertahanan moral dan wawasan kebangsaan.</w:t>
      </w:r>
    </w:p>
    <w:p w14:paraId="7C3F3258" w14:textId="77777777" w:rsidR="00B94750" w:rsidRPr="00DE3AD3" w:rsidRDefault="00B94750" w:rsidP="00B94750">
      <w:pPr>
        <w:pStyle w:val="ListParagraph"/>
        <w:numPr>
          <w:ilvl w:val="0"/>
          <w:numId w:val="3"/>
        </w:numPr>
        <w:spacing w:after="160" w:line="360" w:lineRule="auto"/>
        <w:contextualSpacing/>
        <w:jc w:val="both"/>
        <w:rPr>
          <w:rFonts w:asciiTheme="majorBidi" w:hAnsiTheme="majorBidi" w:cstheme="majorBidi"/>
          <w:b/>
          <w:bCs/>
        </w:rPr>
      </w:pPr>
      <w:r w:rsidRPr="00DE3AD3">
        <w:rPr>
          <w:rFonts w:asciiTheme="majorBidi" w:hAnsiTheme="majorBidi" w:cstheme="majorBidi"/>
          <w:b/>
          <w:bCs/>
        </w:rPr>
        <w:t>K</w:t>
      </w:r>
      <w:r>
        <w:rPr>
          <w:rFonts w:asciiTheme="majorBidi" w:hAnsiTheme="majorBidi" w:cstheme="majorBidi"/>
          <w:b/>
          <w:bCs/>
        </w:rPr>
        <w:t>arakter Pondok P</w:t>
      </w:r>
      <w:r w:rsidRPr="00DE3AD3">
        <w:rPr>
          <w:rFonts w:asciiTheme="majorBidi" w:hAnsiTheme="majorBidi" w:cstheme="majorBidi"/>
          <w:b/>
          <w:bCs/>
        </w:rPr>
        <w:t>esantren di</w:t>
      </w:r>
      <w:r>
        <w:rPr>
          <w:rFonts w:asciiTheme="majorBidi" w:hAnsiTheme="majorBidi" w:cstheme="majorBidi"/>
          <w:b/>
          <w:bCs/>
        </w:rPr>
        <w:t xml:space="preserve"> Tengah Dinamika Z</w:t>
      </w:r>
      <w:r w:rsidRPr="00DE3AD3">
        <w:rPr>
          <w:rFonts w:asciiTheme="majorBidi" w:hAnsiTheme="majorBidi" w:cstheme="majorBidi"/>
          <w:b/>
          <w:bCs/>
        </w:rPr>
        <w:t>aman</w:t>
      </w:r>
    </w:p>
    <w:p w14:paraId="1F7B6680" w14:textId="77777777" w:rsidR="00B94750" w:rsidRPr="00DE3AD3"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Menurut Nurcholis, modernisasi adalah rasionalisasi dari pada westernisasi, hubungan dengan sistem pendidikan pesantren merupakan upaya untuk mempromosikan nilai – nilai kehidupan yang terkandung dalam sistem pendidikan pesantren dan untuk menggantikan nilai – nilai lama yang kurang relevan dengan perkembangan zaman dengan nilai – nilai yang lebih baik, dinamisme merupakan unsur modernisasi. Pembaharuan sistem pendidikan pondok pesantren memerlukan upaya inovatif yang tidak ketinggalan dengan pesatnya perkembangan ilmu pengetahuan dan teknologi. Upaya pembenahan sistem pendidikan pesantren berarti mempertahankan nilai – nilai yang lebih baik.</w:t>
      </w:r>
    </w:p>
    <w:p w14:paraId="5C17F66B" w14:textId="77777777" w:rsidR="00B94750" w:rsidRPr="007A439F" w:rsidRDefault="00B94750" w:rsidP="00B94750">
      <w:pPr>
        <w:pStyle w:val="ListParagraph"/>
        <w:spacing w:line="360" w:lineRule="auto"/>
        <w:ind w:firstLine="720"/>
        <w:jc w:val="both"/>
        <w:rPr>
          <w:rFonts w:asciiTheme="majorBidi" w:hAnsiTheme="majorBidi" w:cstheme="majorBidi"/>
          <w:lang w:val="id-ID"/>
        </w:rPr>
      </w:pPr>
      <w:r w:rsidRPr="00DE3AD3">
        <w:rPr>
          <w:rFonts w:asciiTheme="majorBidi" w:hAnsiTheme="majorBidi" w:cstheme="majorBidi"/>
        </w:rPr>
        <w:t>Gambaran proses dinamisasi dan modermisasi sistem pendidikan pondok pesantren bisa dilihat dari pendapat M. Rusli Karim, yaitu:</w:t>
      </w:r>
      <w:r>
        <w:rPr>
          <w:rFonts w:asciiTheme="majorBidi" w:hAnsiTheme="majorBidi" w:cstheme="majorBidi"/>
          <w:lang w:val="id-ID"/>
        </w:rPr>
        <w:t xml:space="preserve"> </w:t>
      </w:r>
      <w:r w:rsidRPr="007A439F">
        <w:rPr>
          <w:rFonts w:asciiTheme="majorBidi" w:hAnsiTheme="majorBidi" w:cstheme="majorBidi"/>
        </w:rPr>
        <w:t>Mulai akrabnya dengan metodologi ilmiah modern</w:t>
      </w:r>
      <w:r>
        <w:rPr>
          <w:rFonts w:asciiTheme="majorBidi" w:hAnsiTheme="majorBidi" w:cstheme="majorBidi"/>
          <w:lang w:val="id-ID"/>
        </w:rPr>
        <w:t xml:space="preserve">; </w:t>
      </w:r>
      <w:r w:rsidRPr="007A439F">
        <w:rPr>
          <w:rFonts w:asciiTheme="majorBidi" w:hAnsiTheme="majorBidi" w:cstheme="majorBidi"/>
        </w:rPr>
        <w:t>Makin berorientasi pada pendidikan fungsional dalam artiterbuka terhadap perkembangan di luas dirirnya</w:t>
      </w:r>
      <w:r>
        <w:rPr>
          <w:rFonts w:asciiTheme="majorBidi" w:hAnsiTheme="majorBidi" w:cstheme="majorBidi"/>
          <w:lang w:val="id-ID"/>
        </w:rPr>
        <w:t xml:space="preserve">; dan </w:t>
      </w:r>
      <w:r w:rsidRPr="007A439F">
        <w:rPr>
          <w:rFonts w:asciiTheme="majorBidi" w:hAnsiTheme="majorBidi" w:cstheme="majorBidi"/>
        </w:rPr>
        <w:t>Diversifikasi program dan kegiatan telah memungkinkan makin terbukanya pesantren dan mengurangi ketergantungan absolut denagn kiai, dan sekaligus dapat membekali para santrinya dengan berbagai pengetahuan di luar mata pelajaran agama maupun keterampilan yang diperlukan di lapangan pekerjaan.</w:t>
      </w:r>
    </w:p>
    <w:p w14:paraId="1E55505F" w14:textId="77777777" w:rsidR="00B94750" w:rsidRPr="00DE3AD3" w:rsidRDefault="00B94750" w:rsidP="00B94750">
      <w:pPr>
        <w:spacing w:line="360" w:lineRule="auto"/>
        <w:ind w:left="720" w:firstLine="720"/>
        <w:jc w:val="both"/>
        <w:rPr>
          <w:rFonts w:asciiTheme="majorBidi" w:hAnsiTheme="majorBidi" w:cstheme="majorBidi"/>
        </w:rPr>
      </w:pPr>
      <w:r w:rsidRPr="00DE3AD3">
        <w:rPr>
          <w:rFonts w:asciiTheme="majorBidi" w:hAnsiTheme="majorBidi" w:cstheme="majorBidi"/>
        </w:rPr>
        <w:t xml:space="preserve">Pembaharuan dan perkembangan pendidikan pondok pesantren dipelopori oleh K.H. Imam Zarkasyi sekitar tahun 1936 yakni dengan berdirinya Pondok Modern Gontor. Ada tiga </w:t>
      </w:r>
      <w:r w:rsidRPr="00DE3AD3">
        <w:rPr>
          <w:rFonts w:asciiTheme="majorBidi" w:hAnsiTheme="majorBidi" w:cstheme="majorBidi"/>
          <w:i/>
          <w:iCs/>
        </w:rPr>
        <w:t xml:space="preserve">output </w:t>
      </w:r>
      <w:r w:rsidRPr="00DE3AD3">
        <w:rPr>
          <w:rFonts w:asciiTheme="majorBidi" w:hAnsiTheme="majorBidi" w:cstheme="majorBidi"/>
        </w:rPr>
        <w:t xml:space="preserve">yang harus dikejar pondok pesantren, </w:t>
      </w:r>
      <w:proofErr w:type="gramStart"/>
      <w:r w:rsidRPr="00DE3AD3">
        <w:rPr>
          <w:rFonts w:asciiTheme="majorBidi" w:hAnsiTheme="majorBidi" w:cstheme="majorBidi"/>
        </w:rPr>
        <w:t>yaitu :</w:t>
      </w:r>
      <w:proofErr w:type="gramEnd"/>
      <w:r w:rsidRPr="00DE3AD3">
        <w:rPr>
          <w:rFonts w:asciiTheme="majorBidi" w:hAnsiTheme="majorBidi" w:cstheme="majorBidi"/>
        </w:rPr>
        <w:t xml:space="preserve"> </w:t>
      </w:r>
      <w:r w:rsidRPr="00DE3AD3">
        <w:rPr>
          <w:rFonts w:asciiTheme="majorBidi" w:hAnsiTheme="majorBidi" w:cstheme="majorBidi"/>
          <w:i/>
          <w:iCs/>
        </w:rPr>
        <w:t xml:space="preserve">religious skillful people, religious community leader, religious intellect. </w:t>
      </w:r>
      <w:r w:rsidRPr="00DE3AD3">
        <w:rPr>
          <w:rFonts w:asciiTheme="majorBidi" w:hAnsiTheme="majorBidi" w:cstheme="majorBidi"/>
        </w:rPr>
        <w:t xml:space="preserve">Menurut Abdurrahman Wahid, dinamisasi dan modernisasi pondok pesantren dapat dilakukan dengan hasil memuaskan apabila mengambil landasan berikut bagi pengembangannya. </w:t>
      </w:r>
      <w:r w:rsidRPr="00DE3AD3">
        <w:rPr>
          <w:rFonts w:asciiTheme="majorBidi" w:hAnsiTheme="majorBidi" w:cstheme="majorBidi"/>
          <w:i/>
          <w:iCs/>
        </w:rPr>
        <w:t xml:space="preserve">Pertama, </w:t>
      </w:r>
      <w:r w:rsidRPr="00DE3AD3">
        <w:rPr>
          <w:rFonts w:asciiTheme="majorBidi" w:hAnsiTheme="majorBidi" w:cstheme="majorBidi"/>
        </w:rPr>
        <w:t xml:space="preserve">perbaikan keadaan di pesantren sehingga bergantung sebagian besar pada kelangsungan proses regenerasi yang sehat dalam pimpinannya. </w:t>
      </w:r>
      <w:r w:rsidRPr="00DE3AD3">
        <w:rPr>
          <w:rFonts w:asciiTheme="majorBidi" w:hAnsiTheme="majorBidi" w:cstheme="majorBidi"/>
          <w:i/>
          <w:iCs/>
        </w:rPr>
        <w:t xml:space="preserve">Kedua, </w:t>
      </w:r>
      <w:r w:rsidRPr="00DE3AD3">
        <w:rPr>
          <w:rFonts w:asciiTheme="majorBidi" w:hAnsiTheme="majorBidi" w:cstheme="majorBidi"/>
        </w:rPr>
        <w:t>persyaratan utama bagi dinamisasi berluas lingkup penuh dan dalam adalah rekonstruksi bahan-bahan pengajaran ilmu-ilmu agama dalam skala besar-besaran.</w:t>
      </w:r>
    </w:p>
    <w:p w14:paraId="49F91CC2" w14:textId="77777777" w:rsidR="00B94750" w:rsidRPr="00DE3AD3" w:rsidRDefault="00B94750" w:rsidP="00B94750">
      <w:pPr>
        <w:pStyle w:val="ListParagraph"/>
        <w:numPr>
          <w:ilvl w:val="0"/>
          <w:numId w:val="3"/>
        </w:numPr>
        <w:spacing w:after="160" w:line="360" w:lineRule="auto"/>
        <w:contextualSpacing/>
        <w:jc w:val="both"/>
        <w:rPr>
          <w:rFonts w:asciiTheme="majorBidi" w:hAnsiTheme="majorBidi" w:cstheme="majorBidi"/>
        </w:rPr>
      </w:pPr>
      <w:r w:rsidRPr="00DE3AD3">
        <w:rPr>
          <w:rFonts w:asciiTheme="majorBidi" w:hAnsiTheme="majorBidi" w:cstheme="majorBidi"/>
          <w:b/>
          <w:bCs/>
        </w:rPr>
        <w:t>P</w:t>
      </w:r>
      <w:r>
        <w:rPr>
          <w:rFonts w:asciiTheme="majorBidi" w:hAnsiTheme="majorBidi" w:cstheme="majorBidi"/>
          <w:b/>
          <w:bCs/>
        </w:rPr>
        <w:t>esantren sebagai Alternatif Pendidikan Masa D</w:t>
      </w:r>
      <w:r w:rsidRPr="00DE3AD3">
        <w:rPr>
          <w:rFonts w:asciiTheme="majorBidi" w:hAnsiTheme="majorBidi" w:cstheme="majorBidi"/>
          <w:b/>
          <w:bCs/>
        </w:rPr>
        <w:t>epan</w:t>
      </w:r>
    </w:p>
    <w:p w14:paraId="74D12CEB" w14:textId="77777777" w:rsidR="00B94750" w:rsidRPr="00DE3AD3"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Seiring dengan perkembangan ilmu pengetahuan dan teknologi dan kerinduan masyarakat modern terhadap nilai-nilai ketuhanan masyarakat membutuhkan lembaga pendidikan yang mampu merespon kemajuan iptek dan sekaligus mampu memenuhi kebutuhan religius. Dalam menghadapi fenomena yang seperti ini model pondok pesantren yang paling tepat digunakan adalah pendekatan inovatif integratif. Artinya pondok pesantren tidak hanya menekankan pada penguasaan ilmu-ilmu agama dan pembinaan mental religius, tetapi juga diorientasikan untuk menguasai sains sains ke duniaan, kedua aspek itu diintegrasikan secara inovatif futruristik.</w:t>
      </w:r>
      <w:r w:rsidRPr="00DE3AD3">
        <w:rPr>
          <w:rStyle w:val="FootnoteReference"/>
          <w:rFonts w:asciiTheme="majorBidi" w:hAnsiTheme="majorBidi" w:cstheme="majorBidi"/>
        </w:rPr>
        <w:footnoteReference w:id="16"/>
      </w:r>
    </w:p>
    <w:p w14:paraId="17B52989" w14:textId="77777777" w:rsidR="00B94750" w:rsidRPr="00DE3AD3"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Pondok pesantren berusaha mengintegrasikan keduanya secara selaras serasi dan seimbang dan tetap berpegang pada norma-norma religius. Relevansinya dengan pendidikan bagi generasi mendatang, pondok pesantren dengan pendekatan integratif dan inovatif akan mampu memenuhi tuntutan dan permintaan masyarakat baik dari sudut dunia maupun akhirat konsep dasar tujuan pendidikan pada pondok pesantren integratif inovatif adalah identik dengan tujuan pendidikan Islam yang menekankan keselarasan dan keseimbangan antara aspek dunia dan akhirat.</w:t>
      </w:r>
    </w:p>
    <w:p w14:paraId="1C07317B" w14:textId="77777777" w:rsidR="00B94750" w:rsidRPr="00DE3AD3" w:rsidRDefault="00B94750" w:rsidP="00B94750">
      <w:pPr>
        <w:pStyle w:val="ListParagraph"/>
        <w:spacing w:line="360" w:lineRule="auto"/>
        <w:jc w:val="both"/>
        <w:rPr>
          <w:rFonts w:asciiTheme="majorBidi" w:hAnsiTheme="majorBidi" w:cstheme="majorBidi"/>
          <w:b/>
          <w:bCs/>
        </w:rPr>
      </w:pPr>
    </w:p>
    <w:p w14:paraId="5B0204D0" w14:textId="77777777" w:rsidR="00B94750" w:rsidRPr="00DE3AD3" w:rsidRDefault="00B94750" w:rsidP="00B94750">
      <w:pPr>
        <w:spacing w:line="360" w:lineRule="auto"/>
        <w:jc w:val="both"/>
        <w:rPr>
          <w:rFonts w:asciiTheme="majorBidi" w:hAnsiTheme="majorBidi" w:cstheme="majorBidi"/>
          <w:b/>
          <w:bCs/>
        </w:rPr>
      </w:pPr>
      <w:r w:rsidRPr="00DE3AD3">
        <w:rPr>
          <w:rFonts w:asciiTheme="majorBidi" w:hAnsiTheme="majorBidi" w:cstheme="majorBidi"/>
          <w:b/>
          <w:bCs/>
        </w:rPr>
        <w:t xml:space="preserve">KESIMPULAN </w:t>
      </w:r>
    </w:p>
    <w:p w14:paraId="777F8430" w14:textId="77777777" w:rsidR="00B94750"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 xml:space="preserve">Pesantren adalah suatu lembaga pendidikan dimana santri-santri menerima pendidikan agama seorang atau beberapa orang kiai. Penyebaran agama Islam di Indonesia berasal dari India. Hal ini diperkuat dengan adanya pondok pesantren yang </w:t>
      </w:r>
      <w:r>
        <w:rPr>
          <w:rFonts w:asciiTheme="majorBidi" w:hAnsiTheme="majorBidi" w:cstheme="majorBidi"/>
        </w:rPr>
        <w:t>memiliki banyak kesamaan dengan sistem asrama India</w:t>
      </w:r>
      <w:r w:rsidRPr="00DE3AD3">
        <w:rPr>
          <w:rFonts w:asciiTheme="majorBidi" w:hAnsiTheme="majorBidi" w:cstheme="majorBidi"/>
        </w:rPr>
        <w:t xml:space="preserve">. Adapun unsur-unsur yang harus ada dalam pondok pesantren yaitu, yaitu: kiai, santri, masjid, pondok, dan kitab kuning. Pada garis besarnya pondok pesantren terbagi menjadi dua, yaitu: pondok tradisional dan pondok modern. Dalam sistem pendidikan nasional, pondok pesantren memiliki peran yang cukup penting, yaitu: Sebagai lembaga pendidikan keagamaan Islam; sebagai lembaga pengembangan intelektual sosial ekonomi dan IPTEK; sebagai lembaga wajib belajar pendidikan dasar sebagai lembaga pendidikan kesetaraan, sebagai lembaga pendidikan tinggi; sebagai lembaga pengembangan olahraga seni serta budaya dan pondok pesantren; sebagai lembaga pertahanan moral dan wawasan kebangsaan. </w:t>
      </w:r>
    </w:p>
    <w:p w14:paraId="71FF2377" w14:textId="77777777" w:rsidR="00B94750" w:rsidRPr="00DE3AD3" w:rsidRDefault="00B94750" w:rsidP="00B94750">
      <w:pPr>
        <w:pStyle w:val="ListParagraph"/>
        <w:spacing w:line="360" w:lineRule="auto"/>
        <w:ind w:firstLine="720"/>
        <w:jc w:val="both"/>
        <w:rPr>
          <w:rFonts w:asciiTheme="majorBidi" w:hAnsiTheme="majorBidi" w:cstheme="majorBidi"/>
        </w:rPr>
      </w:pPr>
      <w:r w:rsidRPr="00DE3AD3">
        <w:rPr>
          <w:rFonts w:asciiTheme="majorBidi" w:hAnsiTheme="majorBidi" w:cstheme="majorBidi"/>
        </w:rPr>
        <w:t>Gambaran proses dinamisasi dan modermisasi sistem pendidikan pondok pesantren bisa dilihat dari pendapat M. Rusli Karim, yaitu : mulai akrabnya dengan metodologi ilmiah modern; makin berorientasi pada pendidikan fungsional dalam artiterbuka terhadap perkembangan di luas dirirnya; diversifikasi program dan kegiatan telah memungkinkan makin terbukanya pesantren dan mengurangi ketergantungan absolut denagn kiai, dan sekaligus dapat membekali para santrinya dengan berbagai pengetahuan di luar mata pelajaran agama maupun keterampilan yang diperlukan di lapangan pekerjaan. Pondok pesantren dengan menggunakan pendekatak inovatif integratif dirasa paling cocok dalam menghadapi perkembangan ilmu teknologi yang sangat cepat. Ini karena pondok pesantren dengan pendekatan inovatif integratif tidak hanya menekankan pada penguasaan ilmu-ilmu agama dan pembinaan mental religius, tetapi juga diorientasikan untuk menguasai sains sains ke duniaan, kedua aspek itu diintegrasikan secara inovatif futruristik.</w:t>
      </w:r>
    </w:p>
    <w:p w14:paraId="015AEFA1" w14:textId="77777777" w:rsidR="00B94750" w:rsidRPr="00DE3AD3" w:rsidRDefault="00B94750" w:rsidP="00B94750">
      <w:pPr>
        <w:spacing w:line="360" w:lineRule="auto"/>
        <w:jc w:val="both"/>
        <w:rPr>
          <w:rFonts w:asciiTheme="majorBidi" w:hAnsiTheme="majorBidi" w:cstheme="majorBidi"/>
          <w:b/>
          <w:bCs/>
        </w:rPr>
      </w:pPr>
    </w:p>
    <w:p w14:paraId="18A7B594" w14:textId="77777777" w:rsidR="00B94750" w:rsidRPr="00DE3AD3" w:rsidRDefault="00B94750" w:rsidP="00B94750">
      <w:pPr>
        <w:spacing w:line="360" w:lineRule="auto"/>
        <w:jc w:val="both"/>
        <w:rPr>
          <w:rFonts w:asciiTheme="majorBidi" w:hAnsiTheme="majorBidi" w:cstheme="majorBidi"/>
          <w:b/>
          <w:bCs/>
        </w:rPr>
      </w:pPr>
      <w:r w:rsidRPr="00DE3AD3">
        <w:rPr>
          <w:rFonts w:asciiTheme="majorBidi" w:hAnsiTheme="majorBidi" w:cstheme="majorBidi"/>
          <w:b/>
          <w:bCs/>
        </w:rPr>
        <w:t xml:space="preserve">DAFTAR PUSTAKA </w:t>
      </w:r>
    </w:p>
    <w:p w14:paraId="74EDAA2F"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b/>
          <w:bCs/>
        </w:rPr>
        <w:fldChar w:fldCharType="begin" w:fldLock="1"/>
      </w:r>
      <w:r w:rsidRPr="00DE3AD3">
        <w:rPr>
          <w:rFonts w:asciiTheme="majorBidi" w:hAnsiTheme="majorBidi" w:cstheme="majorBidi"/>
          <w:b/>
          <w:bCs/>
        </w:rPr>
        <w:instrText xml:space="preserve">ADDIN Mendeley Bibliography CSL_BIBLIOGRAPHY </w:instrText>
      </w:r>
      <w:r w:rsidRPr="00DE3AD3">
        <w:rPr>
          <w:rFonts w:asciiTheme="majorBidi" w:hAnsiTheme="majorBidi" w:cstheme="majorBidi"/>
          <w:b/>
          <w:bCs/>
        </w:rPr>
        <w:fldChar w:fldCharType="separate"/>
      </w:r>
      <w:r w:rsidRPr="00DE3AD3">
        <w:rPr>
          <w:rFonts w:asciiTheme="majorBidi" w:hAnsiTheme="majorBidi" w:cstheme="majorBidi"/>
          <w:noProof/>
        </w:rPr>
        <w:t xml:space="preserve">Bruinessen, Martin Van, </w:t>
      </w:r>
      <w:r w:rsidRPr="00DE3AD3">
        <w:rPr>
          <w:rFonts w:asciiTheme="majorBidi" w:hAnsiTheme="majorBidi" w:cstheme="majorBidi"/>
          <w:i/>
          <w:iCs/>
          <w:noProof/>
        </w:rPr>
        <w:t>Pesantren Dan Tradisi Kitab Kuning Dan Pemelihara Dan Kesinambungan Pesantren</w:t>
      </w:r>
      <w:r w:rsidRPr="00DE3AD3">
        <w:rPr>
          <w:rFonts w:asciiTheme="majorBidi" w:hAnsiTheme="majorBidi" w:cstheme="majorBidi"/>
          <w:noProof/>
        </w:rPr>
        <w:t xml:space="preserve"> (Ulumul Qur’an, 1992)</w:t>
      </w:r>
    </w:p>
    <w:p w14:paraId="5CA6B3FD"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noProof/>
        </w:rPr>
        <w:t>Dan, Dinamika, Peran Pondok, Sejak Era, Kolonialisme Hingga, and Masa Kini, ‘Edukasi Islami Jurnal Pendidikan Islam Vol. 05, Januari 2016’, 05 (2016), 1295–1309</w:t>
      </w:r>
    </w:p>
    <w:p w14:paraId="0253CA27"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noProof/>
        </w:rPr>
        <w:t xml:space="preserve">Hasbullah, Lihat, </w:t>
      </w:r>
      <w:r w:rsidRPr="00DE3AD3">
        <w:rPr>
          <w:rFonts w:asciiTheme="majorBidi" w:hAnsiTheme="majorBidi" w:cstheme="majorBidi"/>
          <w:i/>
          <w:iCs/>
          <w:noProof/>
        </w:rPr>
        <w:t>Sejarah Pendidikan Islam Di Indonesia; Lintasan Sejarah Pertumbuhan Dan Perkembanga</w:t>
      </w:r>
      <w:r w:rsidRPr="00DE3AD3">
        <w:rPr>
          <w:rFonts w:asciiTheme="majorBidi" w:hAnsiTheme="majorBidi" w:cstheme="majorBidi"/>
          <w:noProof/>
        </w:rPr>
        <w:t xml:space="preserve"> (Jakarta: Raja Grafindo Persada, 1999)</w:t>
      </w:r>
    </w:p>
    <w:p w14:paraId="637EFA74"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noProof/>
        </w:rPr>
        <w:t xml:space="preserve">Junaedi, Mahfud, </w:t>
      </w:r>
      <w:r w:rsidRPr="00DE3AD3">
        <w:rPr>
          <w:rFonts w:asciiTheme="majorBidi" w:hAnsiTheme="majorBidi" w:cstheme="majorBidi"/>
          <w:i/>
          <w:iCs/>
          <w:noProof/>
        </w:rPr>
        <w:t>Paradigma Baru Filsafat Pendidikan Islam</w:t>
      </w:r>
      <w:r w:rsidRPr="00DE3AD3">
        <w:rPr>
          <w:rFonts w:asciiTheme="majorBidi" w:hAnsiTheme="majorBidi" w:cstheme="majorBidi"/>
          <w:noProof/>
        </w:rPr>
        <w:t>, 2019</w:t>
      </w:r>
    </w:p>
    <w:p w14:paraId="195B2E81"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noProof/>
        </w:rPr>
        <w:t xml:space="preserve">———, </w:t>
      </w:r>
      <w:r w:rsidRPr="00DE3AD3">
        <w:rPr>
          <w:rFonts w:asciiTheme="majorBidi" w:hAnsiTheme="majorBidi" w:cstheme="majorBidi"/>
          <w:i/>
          <w:iCs/>
          <w:noProof/>
        </w:rPr>
        <w:t>Paradigma Baru Filsafat Pendidikan Islam</w:t>
      </w:r>
      <w:r w:rsidRPr="00DE3AD3">
        <w:rPr>
          <w:rFonts w:asciiTheme="majorBidi" w:hAnsiTheme="majorBidi" w:cstheme="majorBidi"/>
          <w:noProof/>
        </w:rPr>
        <w:t>, 2019</w:t>
      </w:r>
    </w:p>
    <w:p w14:paraId="5A13C6BB"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noProof/>
        </w:rPr>
        <w:t xml:space="preserve">———, </w:t>
      </w:r>
      <w:r w:rsidRPr="00DE3AD3">
        <w:rPr>
          <w:rFonts w:asciiTheme="majorBidi" w:hAnsiTheme="majorBidi" w:cstheme="majorBidi"/>
          <w:i/>
          <w:iCs/>
          <w:noProof/>
        </w:rPr>
        <w:t>Paradigma Baru Filsafat Pendidikan Islam</w:t>
      </w:r>
      <w:r w:rsidRPr="00DE3AD3">
        <w:rPr>
          <w:rFonts w:asciiTheme="majorBidi" w:hAnsiTheme="majorBidi" w:cstheme="majorBidi"/>
          <w:noProof/>
        </w:rPr>
        <w:t>, 2019</w:t>
      </w:r>
    </w:p>
    <w:p w14:paraId="43BBD2CB"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noProof/>
        </w:rPr>
        <w:t xml:space="preserve">———, </w:t>
      </w:r>
      <w:r w:rsidRPr="00DE3AD3">
        <w:rPr>
          <w:rFonts w:asciiTheme="majorBidi" w:hAnsiTheme="majorBidi" w:cstheme="majorBidi"/>
          <w:i/>
          <w:iCs/>
          <w:noProof/>
        </w:rPr>
        <w:t>Paradigma Baru Filsafat Pendidikan Islam</w:t>
      </w:r>
      <w:r w:rsidRPr="00DE3AD3">
        <w:rPr>
          <w:rFonts w:asciiTheme="majorBidi" w:hAnsiTheme="majorBidi" w:cstheme="majorBidi"/>
          <w:noProof/>
        </w:rPr>
        <w:t>, 2019</w:t>
      </w:r>
    </w:p>
    <w:p w14:paraId="17928DF1"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noProof/>
        </w:rPr>
        <w:t xml:space="preserve">Latif, Muhaemin, and Erwin Hafid, ‘Multicultural Attitudes in an Islamic Boarding School of South Sulawesi–Indonesia’, </w:t>
      </w:r>
      <w:r w:rsidRPr="00DE3AD3">
        <w:rPr>
          <w:rFonts w:asciiTheme="majorBidi" w:hAnsiTheme="majorBidi" w:cstheme="majorBidi"/>
          <w:i/>
          <w:iCs/>
          <w:noProof/>
        </w:rPr>
        <w:t>Cogent Education</w:t>
      </w:r>
      <w:r w:rsidRPr="00DE3AD3">
        <w:rPr>
          <w:rFonts w:asciiTheme="majorBidi" w:hAnsiTheme="majorBidi" w:cstheme="majorBidi"/>
          <w:noProof/>
        </w:rPr>
        <w:t>, 8.1 (2021) &lt;https://doi.org/10.1080/2331186X.2021.1968736&gt;</w:t>
      </w:r>
    </w:p>
    <w:p w14:paraId="6C5C0202"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noProof/>
        </w:rPr>
        <w:t xml:space="preserve">Mastuhu, ‘No Title’, </w:t>
      </w:r>
      <w:r w:rsidRPr="00DE3AD3">
        <w:rPr>
          <w:rFonts w:asciiTheme="majorBidi" w:hAnsiTheme="majorBidi" w:cstheme="majorBidi"/>
          <w:i/>
          <w:iCs/>
          <w:noProof/>
        </w:rPr>
        <w:t>Dinamika Sistem Pendidikan Pesantren</w:t>
      </w:r>
      <w:r w:rsidRPr="00DE3AD3">
        <w:rPr>
          <w:rFonts w:asciiTheme="majorBidi" w:hAnsiTheme="majorBidi" w:cstheme="majorBidi"/>
          <w:noProof/>
        </w:rPr>
        <w:t>, 1994, 3</w:t>
      </w:r>
    </w:p>
    <w:p w14:paraId="20C5EE0E"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noProof/>
        </w:rPr>
        <w:t>Patel, ‘</w:t>
      </w:r>
      <w:r w:rsidRPr="00DE3AD3">
        <w:rPr>
          <w:rFonts w:asciiTheme="majorBidi" w:eastAsia="MS Gothic" w:hAnsi="MS Gothic" w:cstheme="majorBidi"/>
          <w:noProof/>
        </w:rPr>
        <w:t>済無</w:t>
      </w:r>
      <w:r w:rsidRPr="00DE3AD3">
        <w:rPr>
          <w:rFonts w:asciiTheme="majorBidi" w:hAnsiTheme="majorBidi" w:cstheme="majorBidi"/>
          <w:noProof/>
        </w:rPr>
        <w:t>No Title No Title No Title’, 2019, 9–25</w:t>
      </w:r>
    </w:p>
    <w:p w14:paraId="644A5524"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noProof/>
        </w:rPr>
        <w:t>Penelitian, Jurnal, and Ilmiah Intaj, ‘__________________________________________________________________ _________________________________________________________________’, 04.01 (2020), 84–105</w:t>
      </w:r>
    </w:p>
    <w:p w14:paraId="12B13FEA" w14:textId="77777777" w:rsidR="00B94750" w:rsidRPr="00DE3AD3" w:rsidRDefault="00B94750" w:rsidP="00B94750">
      <w:pPr>
        <w:widowControl w:val="0"/>
        <w:autoSpaceDE w:val="0"/>
        <w:autoSpaceDN w:val="0"/>
        <w:adjustRightInd w:val="0"/>
        <w:spacing w:line="360" w:lineRule="auto"/>
        <w:ind w:left="480" w:hanging="480"/>
        <w:rPr>
          <w:rFonts w:asciiTheme="majorBidi" w:hAnsiTheme="majorBidi" w:cstheme="majorBidi"/>
          <w:noProof/>
        </w:rPr>
      </w:pPr>
      <w:r w:rsidRPr="00DE3AD3">
        <w:rPr>
          <w:rFonts w:asciiTheme="majorBidi" w:hAnsiTheme="majorBidi" w:cstheme="majorBidi"/>
          <w:noProof/>
        </w:rPr>
        <w:t xml:space="preserve">Sagala, Syaiful, ‘Manajemen Dan Kepemimpinan Pendidikan Pondok Pesantren’, </w:t>
      </w:r>
      <w:r w:rsidRPr="00DE3AD3">
        <w:rPr>
          <w:rFonts w:asciiTheme="majorBidi" w:hAnsiTheme="majorBidi" w:cstheme="majorBidi"/>
          <w:i/>
          <w:iCs/>
          <w:noProof/>
        </w:rPr>
        <w:t>Jurnal Tarbiyah</w:t>
      </w:r>
      <w:r w:rsidRPr="00DE3AD3">
        <w:rPr>
          <w:rFonts w:asciiTheme="majorBidi" w:hAnsiTheme="majorBidi" w:cstheme="majorBidi"/>
          <w:noProof/>
        </w:rPr>
        <w:t>, 22.2 (2015), 205–25</w:t>
      </w:r>
    </w:p>
    <w:p w14:paraId="34EDB4D2" w14:textId="77777777" w:rsidR="00B94750" w:rsidRPr="00DE3AD3" w:rsidRDefault="00B94750" w:rsidP="00B94750">
      <w:pPr>
        <w:spacing w:line="360" w:lineRule="auto"/>
        <w:ind w:left="720" w:hanging="720"/>
        <w:jc w:val="both"/>
        <w:rPr>
          <w:rFonts w:asciiTheme="majorBidi" w:hAnsiTheme="majorBidi" w:cstheme="majorBidi"/>
        </w:rPr>
      </w:pPr>
      <w:r w:rsidRPr="00DE3AD3">
        <w:rPr>
          <w:rFonts w:asciiTheme="majorBidi" w:hAnsiTheme="majorBidi" w:cstheme="majorBidi"/>
          <w:b/>
          <w:bCs/>
        </w:rPr>
        <w:fldChar w:fldCharType="end"/>
      </w:r>
      <w:r w:rsidRPr="00DE3AD3">
        <w:rPr>
          <w:rFonts w:asciiTheme="majorBidi" w:hAnsiTheme="majorBidi" w:cstheme="majorBidi"/>
        </w:rPr>
        <w:t xml:space="preserve"> Zamakhsyari Dzofier, </w:t>
      </w:r>
      <w:r w:rsidRPr="00DE3AD3">
        <w:rPr>
          <w:rFonts w:asciiTheme="majorBidi" w:hAnsiTheme="majorBidi" w:cstheme="majorBidi"/>
          <w:i/>
          <w:iCs/>
        </w:rPr>
        <w:t>Tradisi Pesantren,</w:t>
      </w:r>
      <w:r w:rsidRPr="00DE3AD3">
        <w:rPr>
          <w:rFonts w:asciiTheme="majorBidi" w:hAnsiTheme="majorBidi" w:cstheme="majorBidi"/>
        </w:rPr>
        <w:t xml:space="preserve"> (Jakarta: LP3ES, 1982), hlm. 139.</w:t>
      </w:r>
    </w:p>
    <w:p w14:paraId="1E3EBAB3" w14:textId="77777777" w:rsidR="00B94750" w:rsidRPr="00DE3AD3" w:rsidRDefault="00B94750" w:rsidP="00B94750">
      <w:pPr>
        <w:spacing w:line="360" w:lineRule="auto"/>
        <w:ind w:left="720" w:hanging="720"/>
        <w:jc w:val="both"/>
        <w:rPr>
          <w:rFonts w:asciiTheme="majorBidi" w:hAnsiTheme="majorBidi" w:cstheme="majorBidi"/>
          <w:b/>
          <w:bCs/>
        </w:rPr>
      </w:pPr>
      <w:r w:rsidRPr="00DE3AD3">
        <w:rPr>
          <w:rFonts w:asciiTheme="majorBidi" w:hAnsiTheme="majorBidi" w:cstheme="majorBidi"/>
        </w:rPr>
        <w:t>Mahfud Junaedi, Paradigma Baru Filsafat Pendidikan Islam (</w:t>
      </w:r>
      <w:proofErr w:type="gramStart"/>
      <w:r w:rsidRPr="00DE3AD3">
        <w:rPr>
          <w:rFonts w:asciiTheme="majorBidi" w:hAnsiTheme="majorBidi" w:cstheme="majorBidi"/>
        </w:rPr>
        <w:t>Jakarta :</w:t>
      </w:r>
      <w:proofErr w:type="gramEnd"/>
      <w:r w:rsidRPr="00DE3AD3">
        <w:rPr>
          <w:rFonts w:asciiTheme="majorBidi" w:hAnsiTheme="majorBidi" w:cstheme="majorBidi"/>
        </w:rPr>
        <w:t xml:space="preserve"> Prenadamedia Group, 2017), Hlm. 175.</w:t>
      </w:r>
    </w:p>
    <w:p w14:paraId="321D34D2" w14:textId="77777777" w:rsidR="0045584D" w:rsidRDefault="0045584D" w:rsidP="00747FB9">
      <w:pPr>
        <w:pStyle w:val="ListParagraph"/>
        <w:spacing w:line="360" w:lineRule="auto"/>
        <w:ind w:left="284" w:firstLine="709"/>
        <w:jc w:val="both"/>
      </w:pPr>
    </w:p>
    <w:sectPr w:rsidR="0045584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09D2A" w14:textId="77777777" w:rsidR="003B3F64" w:rsidRDefault="003B3F64" w:rsidP="00747FB9">
      <w:r>
        <w:separator/>
      </w:r>
    </w:p>
  </w:endnote>
  <w:endnote w:type="continuationSeparator" w:id="0">
    <w:p w14:paraId="3BF3EA81" w14:textId="77777777" w:rsidR="003B3F64" w:rsidRDefault="003B3F64" w:rsidP="00747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E2AE84" w14:textId="77777777" w:rsidR="003B3F64" w:rsidRDefault="003B3F64" w:rsidP="00747FB9">
      <w:r>
        <w:separator/>
      </w:r>
    </w:p>
  </w:footnote>
  <w:footnote w:type="continuationSeparator" w:id="0">
    <w:p w14:paraId="4ABB8B2B" w14:textId="77777777" w:rsidR="003B3F64" w:rsidRDefault="003B3F64" w:rsidP="00747FB9">
      <w:r>
        <w:continuationSeparator/>
      </w:r>
    </w:p>
  </w:footnote>
  <w:footnote w:id="1">
    <w:p w14:paraId="678D39C5" w14:textId="77777777" w:rsidR="00B94750" w:rsidRPr="00E1146D" w:rsidRDefault="00B94750" w:rsidP="00B94750">
      <w:pPr>
        <w:pStyle w:val="FootnoteText"/>
        <w:rPr>
          <w:rFonts w:asciiTheme="majorBidi" w:hAnsiTheme="majorBidi" w:cstheme="majorBidi"/>
        </w:rPr>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author":[{"dropping-particle":"","family":"Dan","given":"Dinamika","non-dropping-particle":"","parse-names":false,"suffix":""},{"dropping-particle":"","family":"Pondok","given":"Peran","non-dropping-particle":"","parse-names":false,"suffix":""},{"dropping-particle":"","family":"Era","given":"Sejak","non-dropping-particle":"","parse-names":false,"suffix":""},{"dropping-particle":"","family":"Hingga","given":"Kolonialisme","non-dropping-particle":"","parse-names":false,"suffix":""},{"dropping-particle":"","family":"Kini","given":"Masa","non-dropping-particle":"","parse-names":false,"suffix":""}],"id":"ITEM-1","issued":{"date-parts":[["2016"]]},"page":"1295-1309","title":"Edukasi Islami Jurnal Pendidikan Islam Vol. 05, Januari 2016","type":"article-journal","volume":"05"},"uris":["http://www.mendeley.com/documents/?uuid=8eab9dae-9f4c-4438-bca5-73c06769d76e"]}],"mendeley":{"formattedCitation":"Dinamika Dan and others, ‘Edukasi Islami Jurnal Pendidikan Islam Vol. 05, Januari 2016’, 05 (2016), 1295–1309.","plainTextFormattedCitation":"Dinamika Dan and others, ‘Edukasi Islami Jurnal Pendidikan Islam Vol. 05, Januari 2016’, 05 (2016), 1295–1309.","previouslyFormattedCitation":"Dinamika Dan and others, ‘Edukasi Islami Jurnal Pendidikan Islam Vol. 05, Januari 2016’, 05 (2016), 1295–1309."},"properties":{"noteIndex":1},"schema":"https://github.com/citation-style-language/schema/raw/master/csl-citation.json"}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Dinamika Dan and others, ‘Edukasi Islami Jurnal Pendidikan Islam Vol. 05, Januari 2016’, 05 (2016), 1295–1309.</w:t>
      </w:r>
      <w:r w:rsidRPr="00E1146D">
        <w:rPr>
          <w:rFonts w:asciiTheme="majorBidi" w:hAnsiTheme="majorBidi" w:cstheme="majorBidi"/>
        </w:rPr>
        <w:fldChar w:fldCharType="end"/>
      </w:r>
    </w:p>
  </w:footnote>
  <w:footnote w:id="2">
    <w:p w14:paraId="2FEE251E" w14:textId="77777777" w:rsidR="00B94750" w:rsidRPr="00E1146D" w:rsidRDefault="00B94750" w:rsidP="00B94750">
      <w:pPr>
        <w:pStyle w:val="FootnoteText"/>
        <w:rPr>
          <w:rFonts w:asciiTheme="majorBidi" w:hAnsiTheme="majorBidi" w:cstheme="majorBidi"/>
        </w:rPr>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{"citationItems":[{"id":"ITEM-1","itemData":{"author":[{"dropping-particle":"","family":"Mastuhu","given":"","non-dropping-particle":"","parse-names":false,"suffix":""}],"container-title":"dinamika sistem pendidikan pesantren","id":"ITEM-1","issued":{"date-parts":[["1994"]]},"page":"3","title":"No Title","type":"article-journal"},"uris":["http://www.mendeley.com/documents/?uuid=51a48752-02aa-4af5-b674-a23c3625f451"]}],"mendeley":{"formattedCitation":"Mastuhu, ‘No Title’, &lt;i&gt;Dinamika Sistem Pendidikan Pesantren&lt;/i&gt;, 1994, 3.","plainTextFormattedCitation":"Mastuhu, ‘No Title’, Dinamika Sistem Pendidikan Pesantren, 1994, 3.","previouslyFormattedCitation":"Mastuhu, ‘No Title’, &lt;i&gt;Dinamika Sistem Pendidikan Pesantren&lt;/i&gt;, 1994, 3."},"properties":{"noteIndex":2},"schema":"https://github.com/citation-style-language/schema/raw/master/csl-citation.json"}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 xml:space="preserve">Mastuhu, ‘No Title’, </w:t>
      </w:r>
      <w:r w:rsidRPr="00E1146D">
        <w:rPr>
          <w:rFonts w:asciiTheme="majorBidi" w:hAnsiTheme="majorBidi" w:cstheme="majorBidi"/>
          <w:i/>
          <w:noProof/>
        </w:rPr>
        <w:t>Dinamika Sistem Pendidikan Pesantren</w:t>
      </w:r>
      <w:r w:rsidRPr="00E1146D">
        <w:rPr>
          <w:rFonts w:asciiTheme="majorBidi" w:hAnsiTheme="majorBidi" w:cstheme="majorBidi"/>
          <w:noProof/>
        </w:rPr>
        <w:t>, 1994, 3.</w:t>
      </w:r>
      <w:r w:rsidRPr="00E1146D">
        <w:rPr>
          <w:rFonts w:asciiTheme="majorBidi" w:hAnsiTheme="majorBidi" w:cstheme="majorBidi"/>
        </w:rPr>
        <w:fldChar w:fldCharType="end"/>
      </w:r>
    </w:p>
  </w:footnote>
  <w:footnote w:id="3">
    <w:p w14:paraId="5E12AE9D" w14:textId="77777777" w:rsidR="00B94750" w:rsidRPr="0085571F" w:rsidRDefault="00B94750" w:rsidP="00B94750">
      <w:pPr>
        <w:pStyle w:val="FootnoteText"/>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{"citationItems":[{"id":"ITEM-1","itemData":{"author":[{"dropping-particle":"","family":"Hasbullah","given":"Lihat","non-dropping-particle":"","parse-names":false,"suffix":""}],"id":"ITEM-1","issued":{"date-parts":[["1999"]]},"number-of-pages":"138","publisher":"Raja Grafindo Persada","publisher-place":"Jakarta","title":"Sejarah Pendidikan Islam di Indonesia; Lintasan Sejarah Pertumbuhan dan Perkembanga","type":"book"},"uris":["http://www.mendeley.com/documents/?uuid=9e4af51e-fcdd-4bf1-9c7f-b20672a0bcd8"]}],"mendeley":{"formattedCitation":"Lihat Hasbullah, &lt;i&gt;Sejarah Pendidikan Islam Di Indonesia; Lintasan Sejarah Pertumbuhan Dan Perkembanga&lt;/i&gt; (Jakarta: Raja Grafindo Persada, 1999).","plainTextFormattedCitation":"Lihat Hasbullah, Sejarah Pendidikan Islam Di Indonesia; Lintasan Sejarah Pertumbuhan Dan Perkembanga (Jakarta: Raja Grafindo Persada, 1999).","previouslyFormattedCitation":"Lihat Hasbullah, &lt;i&gt;Sejarah Pendidikan Islam Di Indonesia; Lintasan Sejarah Pertumbuhan Dan Perkembanga&lt;/i&gt; (Jakarta: Raja Grafindo Persada, 1999)."},"properties":{"noteIndex":3},"schema":"https://github.com/citation-style-language/schema/raw/master/csl-citation.json"}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 xml:space="preserve">Lihat Hasbullah, </w:t>
      </w:r>
      <w:r w:rsidRPr="00E1146D">
        <w:rPr>
          <w:rFonts w:asciiTheme="majorBidi" w:hAnsiTheme="majorBidi" w:cstheme="majorBidi"/>
          <w:i/>
          <w:noProof/>
        </w:rPr>
        <w:t>Sejarah Pendidikan Islam Di Indonesia; Lintasan Sejarah Pertumbuhan Dan Perkembanga</w:t>
      </w:r>
      <w:r w:rsidRPr="00E1146D">
        <w:rPr>
          <w:rFonts w:asciiTheme="majorBidi" w:hAnsiTheme="majorBidi" w:cstheme="majorBidi"/>
          <w:noProof/>
        </w:rPr>
        <w:t xml:space="preserve"> (Jakarta: Raja Grafindo Persada, 1999).</w:t>
      </w:r>
      <w:r w:rsidRPr="00E1146D">
        <w:rPr>
          <w:rFonts w:asciiTheme="majorBidi" w:hAnsiTheme="majorBidi" w:cstheme="majorBidi"/>
        </w:rPr>
        <w:fldChar w:fldCharType="end"/>
      </w:r>
    </w:p>
  </w:footnote>
  <w:footnote w:id="4">
    <w:p w14:paraId="0DC19827" w14:textId="77777777" w:rsidR="00B94750" w:rsidRPr="00E1146D" w:rsidRDefault="00B94750" w:rsidP="00B94750">
      <w:pPr>
        <w:pStyle w:val="FootnoteText"/>
        <w:rPr>
          <w:rFonts w:asciiTheme="majorBidi" w:hAnsiTheme="majorBidi" w:cstheme="majorBidi"/>
        </w:rPr>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{"citationItems":[{"id":"ITEM-1","itemData":{"DOI":"10.1080/2331186X.2021.1968736","ISSN":"2331186X","abstract":"This qualitative study examines examples of multicultural attitudes in pesantren (Islamic boarding school) in South Sulawesi, Indonesia. It employs focus group discussions (FGD), in-depth interviews and participatory observations research methods to figure out multicultural life at Pesantren Darul Istiqamah (DI), a non-denominational pesantren in Maros, South Sulawesi—Indonesia. The research subjects were ustad (teacher), students (santri), and kyai (religious leaders) of the pesantren. The data were analyzed, contrasted and compared systematically through an inductive qualitative approach. The researcherss conclude that pesantren have their own perspectives about multiculturalism derived from the holy Koran without adopting Western theories. Their views fundamentally reflect an opinion that human beings are created with differences, so, diversities in language, race, and religion are inevitable and therefore people should respect each other. This philosophy underpins curriculum, teaching-learning process and interactions inside/outside of the pesantren which are inclusive and equally valued all diversity.","author":[{"dropping-particle":"","family":"Latif","given":"Muhaemin","non-dropping-particle":"","parse-names":false,"suffix":""},{"dropping-particle":"","family":"Hafid","given":"Erwin","non-dropping-particle":"","parse-names":false,"suffix":""}],"container-title":"Cogent Education","id":"ITEM-1","issue":"1","issued":{"date-parts":[["2021"]]},"title":"multicultural attitudes in an Islamic boarding school of South Sulawesi–Indonesia","type":"article-journal","volume":"8"},"uris":["http://www.mendeley.com/documents/?uuid=4f3d5802-31a4-4232-a679-d11319ae1347"]}],"mendeley":{"formattedCitation":"Muhaemin Latif and Erwin Hafid, ‘Multicultural Attitudes in an Islamic Boarding School of South Sulawesi–Indonesia’, &lt;i&gt;Cogent Education&lt;/i&gt;, 8.1 (2021) &lt;https://doi.org/10.1080/2331186X.2021.1968736&gt;.","plainTextFormattedCitation":"Muhaemin Latif and Erwin Hafid, ‘Multicultural Attitudes in an Islamic Boarding School of South Sulawesi–Indonesia’, Cogent Education, 8.1 (2021) .","previouslyFormattedCitation":"Muhaemin Latif and Erwin Hafid, ‘Multicultural Attitudes in an Islamic Boarding School of South Sulawesi–Indonesia’, &lt;i&gt;Cogent Education&lt;/i&gt;, 8.1 (2021) &lt;https://doi.org/10.1080/2331186X.2021.1968736&gt;."},"properties":{"noteIndex":4},"schema":"https://github.com/citation-style-language/schema/raw/master/csl-citation.json"}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 xml:space="preserve">Muhaemin Latif and Erwin Hafid, ‘Multicultural Attitudes in an Islamic Boarding School of South Sulawesi–Indonesia’, </w:t>
      </w:r>
      <w:r w:rsidRPr="00E1146D">
        <w:rPr>
          <w:rFonts w:asciiTheme="majorBidi" w:hAnsiTheme="majorBidi" w:cstheme="majorBidi"/>
          <w:i/>
          <w:noProof/>
        </w:rPr>
        <w:t>Cogent Education</w:t>
      </w:r>
      <w:r w:rsidRPr="00E1146D">
        <w:rPr>
          <w:rFonts w:asciiTheme="majorBidi" w:hAnsiTheme="majorBidi" w:cstheme="majorBidi"/>
          <w:noProof/>
        </w:rPr>
        <w:t>, 8.1 (2021) &lt;https://doi.org/10.1080/2331186X.2021.1968736&gt;.</w:t>
      </w:r>
      <w:r w:rsidRPr="00E1146D">
        <w:rPr>
          <w:rFonts w:asciiTheme="majorBidi" w:hAnsiTheme="majorBidi" w:cstheme="majorBidi"/>
        </w:rPr>
        <w:fldChar w:fldCharType="end"/>
      </w:r>
    </w:p>
  </w:footnote>
  <w:footnote w:id="5">
    <w:p w14:paraId="56F6BED9" w14:textId="77777777" w:rsidR="00B94750" w:rsidRPr="000E5179" w:rsidRDefault="00B94750" w:rsidP="00B94750">
      <w:pPr>
        <w:pStyle w:val="FootnoteText"/>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{"citationItems":[{"id":"ITEM-1","itemData":{"ISSN":"0854-2627","abstract":"Management and leadership of the boarding school have the distinctive feature of the culture and values corresponding to the Islamization of religious values . Respect for the teacher ( scholars) by the students is a necessity . Respect for teachers has become a tradition for students in boarding school in order to obtain the blessings of science draw. Leadership of boarding schools teaches respect for the teacher, it is understood as the practice of educational practices has a very strong religious justification. In an effort to fulfill the vision and mission of education at the boarding school, the leadership needs to meet the requirements in accordance with the characteristics and character boarding school. The phenomenon of the modern era is the development of management science and increasingly dynamic leadership and the use of more advanced technologies that affect people's lives. Consequently boarding school education needs to adapt to these advances while maintaining the distinctive features and characteristics of the boarding school. By applying management and leadership more dynamic , then the boarding school education in more advanced and dynamic while maintaining religious purity that characterize primary of boarding school.","author":[{"dropping-particle":"","family":"Sagala","given":"Syaiful","non-dropping-particle":"","parse-names":false,"suffix":""}],"container-title":"Jurnal Tarbiyah","id":"ITEM-1","issue":"2","issued":{"date-parts":[["2015"]]},"page":"205-225","title":"Manajemen Dan Kepemimpinan Pendidikan Pondok Pesantren","type":"article-journal","volume":"22"},"uris":["http://www.mendeley.com/documents/?uuid=e5a2e327-9702-43a2-8e3a-779c29bf88e4"]}],"mendeley":{"formattedCitation":"Syaiful Sagala, ‘Manajemen Dan Kepemimpinan Pendidikan Pondok Pesantren’, &lt;i&gt;Jurnal Tarbiyah&lt;/i&gt;, 22.2 (2015), 205–25.","plainTextFormattedCitation":"Syaiful Sagala, ‘Manajemen Dan Kepemimpinan Pendidikan Pondok Pesantren’, Jurnal Tarbiyah, 22.2 (2015), 205–25.","previouslyFormattedCitation":"Syaiful Sagala, ‘Manajemen Dan Kepemimpinan Pendidikan Pondok Pesantren’, &lt;i&gt;Jurnal Tarbiyah&lt;/i&gt;, 22.2 (2015), 205–25."},"properties":{"noteIndex":5},"schema":"https://github.com/citation-style-language/schema/raw/master/csl-citation.json"}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 xml:space="preserve">Syaiful Sagala, ‘Manajemen Dan Kepemimpinan Pendidikan Pondok Pesantren’, </w:t>
      </w:r>
      <w:r w:rsidRPr="00E1146D">
        <w:rPr>
          <w:rFonts w:asciiTheme="majorBidi" w:hAnsiTheme="majorBidi" w:cstheme="majorBidi"/>
          <w:i/>
          <w:noProof/>
        </w:rPr>
        <w:t>Jurnal Tarbiyah</w:t>
      </w:r>
      <w:r w:rsidRPr="00E1146D">
        <w:rPr>
          <w:rFonts w:asciiTheme="majorBidi" w:hAnsiTheme="majorBidi" w:cstheme="majorBidi"/>
          <w:noProof/>
        </w:rPr>
        <w:t>, 22.2 (2015), 205–25.</w:t>
      </w:r>
      <w:r w:rsidRPr="00E1146D">
        <w:rPr>
          <w:rFonts w:asciiTheme="majorBidi" w:hAnsiTheme="majorBidi" w:cstheme="majorBidi"/>
        </w:rPr>
        <w:fldChar w:fldCharType="end"/>
      </w:r>
    </w:p>
  </w:footnote>
  <w:footnote w:id="6">
    <w:p w14:paraId="53046AE4" w14:textId="77777777" w:rsidR="00B94750" w:rsidRPr="00E1146D" w:rsidRDefault="00B94750" w:rsidP="00B94750">
      <w:pPr>
        <w:pStyle w:val="FootnoteText"/>
        <w:rPr>
          <w:rFonts w:asciiTheme="majorBidi" w:hAnsiTheme="majorBidi" w:cstheme="majorBidi"/>
        </w:rPr>
      </w:pPr>
      <w:r w:rsidRPr="00E1146D">
        <w:rPr>
          <w:rStyle w:val="FootnoteReference"/>
          <w:rFonts w:asciiTheme="majorBidi" w:hAnsiTheme="majorBidi" w:cstheme="majorBidi"/>
        </w:rPr>
        <w:footnoteRef/>
      </w:r>
      <w:r w:rsidRPr="00E1146D">
        <w:rPr>
          <w:rFonts w:asciiTheme="majorBidi" w:hAnsiTheme="majorBidi" w:cstheme="majorBidi"/>
        </w:rPr>
        <w:t xml:space="preserve"> Zamakhsyari Dzofier, </w:t>
      </w:r>
      <w:r w:rsidRPr="00E1146D">
        <w:rPr>
          <w:rFonts w:asciiTheme="majorBidi" w:hAnsiTheme="majorBidi" w:cstheme="majorBidi"/>
          <w:i/>
          <w:iCs/>
        </w:rPr>
        <w:t>Tradisi Pesantren,</w:t>
      </w:r>
      <w:r w:rsidRPr="00E1146D">
        <w:rPr>
          <w:rFonts w:asciiTheme="majorBidi" w:hAnsiTheme="majorBidi" w:cstheme="majorBidi"/>
        </w:rPr>
        <w:t xml:space="preserve"> (Jakarta: LP3ES, 1982), hlm. 139. </w:t>
      </w:r>
    </w:p>
  </w:footnote>
  <w:footnote w:id="7">
    <w:p w14:paraId="6B85816B" w14:textId="77777777" w:rsidR="00B94750" w:rsidRPr="0046347C" w:rsidRDefault="00B94750" w:rsidP="00B94750">
      <w:pPr>
        <w:pStyle w:val="FootnoteText"/>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{"citationItems":[{"id":"ITEM-1","itemData":{"author":[{"dropping-particle":"Van","family":"Bruinessen","given":"Martin","non-dropping-particle":"","parse-names":false,"suffix":""}],"id":"ITEM-1","issued":{"date-parts":[["1992"]]},"number-of-pages":"75","publisher":"Ulumul Qur'an","title":"Pesantren dan Tradisi Kitab Kuning dan Pemelihara dan Kesinambungan Pesantren","type":"book"},"uris":["http://www.mendeley.com/documents/?uuid=6cb26d05-7002-4a8f-abc0-e5e3fd40cc26"]}],"mendeley":{"formattedCitation":"Martin Van Bruinessen, &lt;i&gt;Pesantren Dan Tradisi Kitab Kuning Dan Pemelihara Dan Kesinambungan Pesantren&lt;/i&gt; (Ulumul Qur’an, 1992).","plainTextFormattedCitation":"Martin Van Bruinessen, Pesantren Dan Tradisi Kitab Kuning Dan Pemelihara Dan Kesinambungan Pesantren (Ulumul Qur’an, 1992).","previouslyFormattedCitation":"Martin Van Bruinessen, &lt;i&gt;Pesantren Dan Tradisi Kitab Kuning Dan Pemelihara Dan Kesinambungan Pesantren&lt;/i&gt; (Ulumul Qur’an, 1992)."},"properties":{"noteIndex":7},"schema":"https://github.com/citation-style-language/schema/raw/master/csl-citation.json"}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 xml:space="preserve">Martin Van Bruinessen, </w:t>
      </w:r>
      <w:r w:rsidRPr="00E1146D">
        <w:rPr>
          <w:rFonts w:asciiTheme="majorBidi" w:hAnsiTheme="majorBidi" w:cstheme="majorBidi"/>
          <w:i/>
          <w:noProof/>
        </w:rPr>
        <w:t>Pesantren Dan Tradisi Kitab Kuning Dan Pemelihara Dan Kesinambungan Pesantren</w:t>
      </w:r>
      <w:r w:rsidRPr="00E1146D">
        <w:rPr>
          <w:rFonts w:asciiTheme="majorBidi" w:hAnsiTheme="majorBidi" w:cstheme="majorBidi"/>
          <w:noProof/>
        </w:rPr>
        <w:t xml:space="preserve"> (Ulumul Qur’an, 1992).</w:t>
      </w:r>
      <w:r w:rsidRPr="00E1146D">
        <w:rPr>
          <w:rFonts w:asciiTheme="majorBidi" w:hAnsiTheme="majorBidi" w:cstheme="majorBidi"/>
        </w:rPr>
        <w:fldChar w:fldCharType="end"/>
      </w:r>
    </w:p>
  </w:footnote>
  <w:footnote w:id="8">
    <w:p w14:paraId="7BC2E8D8" w14:textId="77777777" w:rsidR="00B94750" w:rsidRPr="00E1146D" w:rsidRDefault="00B94750" w:rsidP="00B94750">
      <w:pPr>
        <w:pStyle w:val="FootnoteText"/>
        <w:rPr>
          <w:rFonts w:asciiTheme="majorBidi" w:hAnsiTheme="majorBidi" w:cstheme="majorBidi"/>
        </w:rPr>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author":[{"dropping-particle":"","family":"Penelitian","given":"Jurnal","non-dropping-particle":"","parse-names":false,"suffix":""},{"dropping-particle":"","family":"Intaj","given":"Ilmiah","non-dropping-particle":"","parse-names":false,"suffix":""}],"id":"ITEM-1","issue":"01","issued":{"date-parts":[["2020"]]},"page":"84-105","title":"__________________________________________________________________ _________________________________________________________________","type":"article-journal","volume":"04"},"uris":["http://www.mendeley.com/documents/?uuid=09c26a87-80de-4cc7-b6f0-ea9762b898b9"]}],"mendeley":{"formattedCitation":"Jurnal Penelitian and Ilmiah Intaj, ‘__________________________________________________________________ _________________________________________________________________’, 04.01 (2020), 84–105.","plainTextFormattedCitation":"Jurnal Penelitian and Ilmiah Intaj, ‘__________________________________________________________________ _________________________________________________________________’, 04.01 (2020), 84–105."},"properties":{"noteIndex":8},"schema":"https://github.com/citation-style-language/schema/raw/master/csl-citation.json"}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Jurnal Penelitian and Ilmiah Intaj, ‘__________________________________________________________________ _________________________________________________________________’, 04.01 (2020), 84–105.</w:t>
      </w:r>
      <w:r w:rsidRPr="00E1146D">
        <w:rPr>
          <w:rFonts w:asciiTheme="majorBidi" w:hAnsiTheme="majorBidi" w:cstheme="majorBidi"/>
        </w:rPr>
        <w:fldChar w:fldCharType="end"/>
      </w:r>
    </w:p>
  </w:footnote>
  <w:footnote w:id="9">
    <w:p w14:paraId="7F6B93C9" w14:textId="77777777" w:rsidR="00B94750" w:rsidRPr="00E1146D" w:rsidRDefault="00B94750" w:rsidP="00B94750">
      <w:pPr>
        <w:pStyle w:val="FootnoteText"/>
        <w:rPr>
          <w:rFonts w:asciiTheme="majorBidi" w:hAnsiTheme="majorBidi" w:cstheme="majorBidi"/>
        </w:rPr>
      </w:pPr>
      <w:r>
        <w:rPr>
          <w:rStyle w:val="FootnoteReference"/>
        </w:rPr>
        <w:footnoteRef/>
      </w:r>
      <w:r>
        <w:t xml:space="preserve"> </w:t>
      </w:r>
      <w:r w:rsidRPr="00E1146D">
        <w:rPr>
          <w:rFonts w:asciiTheme="majorBidi" w:hAnsiTheme="majorBidi" w:cstheme="majorBidi"/>
        </w:rPr>
        <w:t>J Mahfud Junaedi, Paradigma Baru Filsafat Pendidikan Islam (</w:t>
      </w:r>
      <w:proofErr w:type="gramStart"/>
      <w:r w:rsidRPr="00E1146D">
        <w:rPr>
          <w:rFonts w:asciiTheme="majorBidi" w:hAnsiTheme="majorBidi" w:cstheme="majorBidi"/>
        </w:rPr>
        <w:t>Jakarta :</w:t>
      </w:r>
      <w:proofErr w:type="gramEnd"/>
      <w:r w:rsidRPr="00E1146D">
        <w:rPr>
          <w:rFonts w:asciiTheme="majorBidi" w:hAnsiTheme="majorBidi" w:cstheme="majorBidi"/>
        </w:rPr>
        <w:t xml:space="preserve"> Prenadamedia Group, 2017), Hlm. 175.</w:t>
      </w:r>
    </w:p>
  </w:footnote>
  <w:footnote w:id="10">
    <w:p w14:paraId="5D1186D2" w14:textId="77777777" w:rsidR="00B94750" w:rsidRPr="00E1146D" w:rsidRDefault="00B94750" w:rsidP="00B94750">
      <w:pPr>
        <w:pStyle w:val="FootnoteText"/>
        <w:rPr>
          <w:rFonts w:asciiTheme="majorBidi" w:hAnsiTheme="majorBidi" w:cstheme="majorBidi"/>
        </w:rPr>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approach.","author":[{"dropping-particle":"","family":"Patel","given":"","non-dropping-particle":"","parse-names":false,"suffix":""}],"id":"ITEM-1","issued":{"date-parts":[["2019"]]},"page":"9-25","title":"</w:instrText>
      </w:r>
      <w:r w:rsidRPr="00E1146D">
        <w:rPr>
          <w:rFonts w:asciiTheme="majorBidi" w:eastAsia="MS Gothic" w:hAnsiTheme="majorBidi" w:cstheme="majorBidi"/>
        </w:rPr>
        <w:instrText>済無</w:instrText>
      </w:r>
      <w:r w:rsidRPr="00E1146D">
        <w:rPr>
          <w:rFonts w:asciiTheme="majorBidi" w:hAnsiTheme="majorBidi" w:cstheme="majorBidi"/>
        </w:rPr>
        <w:instrText>No Title No Title No Title","type":"article-journal"},"uris":["http://www.mendeley.com/documents/?uuid=c2e81d95-3165-48d4-868d-3bbb792d4677"]}],"mendeley":{"formattedCitation":"Patel, ‘</w:instrText>
      </w:r>
      <w:r w:rsidRPr="00E1146D">
        <w:rPr>
          <w:rFonts w:asciiTheme="majorBidi" w:eastAsia="MS Gothic" w:hAnsiTheme="majorBidi" w:cstheme="majorBidi"/>
        </w:rPr>
        <w:instrText>済無</w:instrText>
      </w:r>
      <w:r w:rsidRPr="00E1146D">
        <w:rPr>
          <w:rFonts w:asciiTheme="majorBidi" w:hAnsiTheme="majorBidi" w:cstheme="majorBidi"/>
        </w:rPr>
        <w:instrText>No Title No Title No Title’, 2019, 9–25.","plainTextFormattedCitation":"Patel, ‘</w:instrText>
      </w:r>
      <w:r w:rsidRPr="00E1146D">
        <w:rPr>
          <w:rFonts w:asciiTheme="majorBidi" w:eastAsia="MS Gothic" w:hAnsiTheme="majorBidi" w:cstheme="majorBidi"/>
        </w:rPr>
        <w:instrText>済無</w:instrText>
      </w:r>
      <w:r w:rsidRPr="00E1146D">
        <w:rPr>
          <w:rFonts w:asciiTheme="majorBidi" w:hAnsiTheme="majorBidi" w:cstheme="majorBidi"/>
        </w:rPr>
        <w:instrText>No Title No Title No Title’, 2019, 9–25.","previouslyFormattedCitation":"Patel, ‘</w:instrText>
      </w:r>
      <w:r w:rsidRPr="00E1146D">
        <w:rPr>
          <w:rFonts w:asciiTheme="majorBidi" w:eastAsia="MS Gothic" w:hAnsiTheme="majorBidi" w:cstheme="majorBidi"/>
        </w:rPr>
        <w:instrText>済無</w:instrText>
      </w:r>
      <w:r w:rsidRPr="00E1146D">
        <w:rPr>
          <w:rFonts w:asciiTheme="majorBidi" w:hAnsiTheme="majorBidi" w:cstheme="majorBidi"/>
        </w:rPr>
        <w:instrText>No Title No Title No Title’, 2019, 9–25."},"properties":{"noteIndex":10},"schema":"https://github.com/citation-style-language/schema/raw/master/csl-citation.json"}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Patel, ‘</w:t>
      </w:r>
      <w:r w:rsidRPr="00E1146D">
        <w:rPr>
          <w:rFonts w:asciiTheme="majorBidi" w:eastAsia="MS Gothic" w:hAnsiTheme="majorBidi" w:cstheme="majorBidi"/>
          <w:noProof/>
        </w:rPr>
        <w:t>済無</w:t>
      </w:r>
      <w:r w:rsidRPr="00E1146D">
        <w:rPr>
          <w:rFonts w:asciiTheme="majorBidi" w:hAnsiTheme="majorBidi" w:cstheme="majorBidi"/>
          <w:noProof/>
        </w:rPr>
        <w:t>No Title No Title No Title’, 2019, 9–25.</w:t>
      </w:r>
      <w:r w:rsidRPr="00E1146D">
        <w:rPr>
          <w:rFonts w:asciiTheme="majorBidi" w:hAnsiTheme="majorBidi" w:cstheme="majorBidi"/>
        </w:rPr>
        <w:fldChar w:fldCharType="end"/>
      </w:r>
    </w:p>
  </w:footnote>
  <w:footnote w:id="11">
    <w:p w14:paraId="046E096C" w14:textId="77777777" w:rsidR="00B94750" w:rsidRDefault="00B94750" w:rsidP="00B94750">
      <w:pPr>
        <w:pStyle w:val="FootnoteText"/>
      </w:pPr>
      <w:r w:rsidRPr="00E1146D">
        <w:rPr>
          <w:rStyle w:val="FootnoteReference"/>
          <w:rFonts w:asciiTheme="majorBidi" w:hAnsiTheme="majorBidi" w:cstheme="majorBidi"/>
        </w:rPr>
        <w:footnoteRef/>
      </w:r>
      <w:r w:rsidRPr="00E1146D">
        <w:rPr>
          <w:rFonts w:asciiTheme="majorBidi" w:hAnsiTheme="majorBidi" w:cstheme="majorBidi"/>
        </w:rPr>
        <w:t xml:space="preserve"> Junaedi, </w:t>
      </w:r>
      <w:proofErr w:type="gramStart"/>
      <w:r w:rsidRPr="00E1146D">
        <w:rPr>
          <w:rFonts w:asciiTheme="majorBidi" w:hAnsiTheme="majorBidi" w:cstheme="majorBidi"/>
        </w:rPr>
        <w:t>Op.Cit</w:t>
      </w:r>
      <w:proofErr w:type="gramEnd"/>
      <w:r w:rsidRPr="00E1146D">
        <w:rPr>
          <w:rFonts w:asciiTheme="majorBidi" w:hAnsiTheme="majorBidi" w:cstheme="majorBidi"/>
        </w:rPr>
        <w:t>, hlm. 177-178.</w:t>
      </w:r>
    </w:p>
  </w:footnote>
  <w:footnote w:id="12">
    <w:p w14:paraId="0C6C33A1" w14:textId="77777777" w:rsidR="00B94750" w:rsidRPr="00E1146D" w:rsidRDefault="00B94750" w:rsidP="00B94750">
      <w:pPr>
        <w:pStyle w:val="FootnoteText"/>
        <w:rPr>
          <w:rFonts w:asciiTheme="majorBidi" w:hAnsiTheme="majorBidi" w:cstheme="majorBidi"/>
        </w:rPr>
      </w:pPr>
      <w:r>
        <w:rPr>
          <w:rStyle w:val="FootnoteReference"/>
        </w:rPr>
        <w:footnoteRef/>
      </w:r>
      <w: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{"citationItems":[{"id":"ITEM-1","itemData":{"author":[{"dropping-particle":"","family":"Junaedi","given":"Mahfud","non-dropping-particle":"","parse-names":false,"suffix":""}],"id":"ITEM-1","issued":{"date-parts":[["2019"]]},"number-of-pages":"179","title":"Paradigma Baru Filsafat Pendidikan Islam","type":"book"},"uris":["http://www.mendeley.com/documents/?uuid=42a0b3f3-984b-45ac-990e-527693f0d0a2"]}],"mendeley":{"formattedCitation":"Mahfud Junaedi, &lt;i&gt;Paradigma Baru Filsafat Pendidikan Islam&lt;/i&gt;, 2019.","plainTextFormattedCitation":"Mahfud Junaedi, Paradigma Baru Filsafat Pendidikan Islam, 2019.","previouslyFormattedCitation":"Mahfud Junaedi, &lt;i&gt;Paradigma Baru Filsafat Pendidikan Islam&lt;/i&gt;, 2019."},"properties":{"noteIndex":11},"schema":"https://github.com/citation-style-language/schema/raw/master/csl-citation.json"}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 xml:space="preserve">Mahfud Junaedi, </w:t>
      </w:r>
      <w:r w:rsidRPr="00E1146D">
        <w:rPr>
          <w:rFonts w:asciiTheme="majorBidi" w:hAnsiTheme="majorBidi" w:cstheme="majorBidi"/>
          <w:i/>
          <w:noProof/>
        </w:rPr>
        <w:t>Paradigma Baru Filsafat Pendidikan Islam</w:t>
      </w:r>
      <w:r w:rsidRPr="00E1146D">
        <w:rPr>
          <w:rFonts w:asciiTheme="majorBidi" w:hAnsiTheme="majorBidi" w:cstheme="majorBidi"/>
          <w:noProof/>
        </w:rPr>
        <w:t>, 2019.</w:t>
      </w:r>
      <w:r w:rsidRPr="00E1146D">
        <w:rPr>
          <w:rFonts w:asciiTheme="majorBidi" w:hAnsiTheme="majorBidi" w:cstheme="majorBidi"/>
        </w:rPr>
        <w:fldChar w:fldCharType="end"/>
      </w:r>
    </w:p>
  </w:footnote>
  <w:footnote w:id="13">
    <w:p w14:paraId="2E054E3A" w14:textId="77777777" w:rsidR="00B94750" w:rsidRPr="00B73B0D" w:rsidRDefault="00B94750" w:rsidP="00B94750">
      <w:pPr>
        <w:pStyle w:val="FootnoteText"/>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{"citationItems":[{"id":"ITEM-1","itemData":{"author":[{"dropping-particle":"","family":"Junaedi","given":"Mahfud","non-dropping-particle":"","parse-names":false,"suffix":""}],"id":"ITEM-1","issued":{"date-parts":[["2019"]]},"number-of-pages":"180","title":"Paradigma Baru Filsafat Pendidikan Islam","type":"book"},"uris":["http://www.mendeley.com/documents/?uuid=d24470ca-36c8-4f7e-a617-b28d380af478"]}],"mendeley":{"formattedCitation":"Mahfud Junaedi, &lt;i&gt;Paradigma Baru Filsafat Pendidikan Islam&lt;/i&gt;, 2019.","plainTextFormattedCitation":"Mahfud Junaedi, Paradigma Baru Filsafat Pendidikan Islam, 2019.","previouslyFormattedCitation":"Mahfud Junaedi, &lt;i&gt;Paradigma Baru Filsafat Pendidikan Islam&lt;/i&gt;, 2019."},"properties":{"noteIndex":12},"schema":"https://github.com/citation-style-language/schema/raw/master/csl-citation.json"}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 xml:space="preserve">Mahfud Junaedi, </w:t>
      </w:r>
      <w:r w:rsidRPr="00E1146D">
        <w:rPr>
          <w:rFonts w:asciiTheme="majorBidi" w:hAnsiTheme="majorBidi" w:cstheme="majorBidi"/>
          <w:i/>
          <w:noProof/>
        </w:rPr>
        <w:t>Paradigma Baru Filsafat Pendidikan Islam</w:t>
      </w:r>
      <w:r w:rsidRPr="00E1146D">
        <w:rPr>
          <w:rFonts w:asciiTheme="majorBidi" w:hAnsiTheme="majorBidi" w:cstheme="majorBidi"/>
          <w:noProof/>
        </w:rPr>
        <w:t>, 2019.</w:t>
      </w:r>
      <w:r w:rsidRPr="00E1146D">
        <w:rPr>
          <w:rFonts w:asciiTheme="majorBidi" w:hAnsiTheme="majorBidi" w:cstheme="majorBidi"/>
        </w:rPr>
        <w:fldChar w:fldCharType="end"/>
      </w:r>
    </w:p>
  </w:footnote>
  <w:footnote w:id="14">
    <w:p w14:paraId="1C96DD64" w14:textId="77777777" w:rsidR="00B94750" w:rsidRPr="00E1146D" w:rsidRDefault="00B94750" w:rsidP="00B94750">
      <w:pPr>
        <w:pStyle w:val="FootnoteText"/>
        <w:rPr>
          <w:rFonts w:asciiTheme="majorBidi" w:hAnsiTheme="majorBidi" w:cstheme="majorBidi"/>
        </w:rPr>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{"citationItems":[{"id":"ITEM-1","itemData":{"author":[{"dropping-particle":"","family":"Junaedi","given":"Mahfud","non-dropping-particle":"","parse-names":false,"suffix":""}],"id":"ITEM-1","issued":{"date-parts":[["2019"]]},"number-of-pages":"184","title":"Paradigma Baru Filsafat Pendidikan Islam","type":"book"},"uris":["http://www.mendeley.com/documents/?uuid=9bd76259-c584-45e3-8417-35516ceeeb1c"]}],"mendeley":{"formattedCitation":"Mahfud Junaedi, &lt;i&gt;Paradigma Baru Filsafat Pendidikan Islam&lt;/i&gt;, 2019.","plainTextFormattedCitation":"Mahfud Junaedi, Paradigma Baru Filsafat Pendidikan Islam, 2019.","previouslyFormattedCitation":"Mahfud Junaedi, &lt;i&gt;Paradigma Baru Filsafat Pendidikan Islam&lt;/i&gt;, 2019."},"properties":{"noteIndex":13},"schema":"https://github.com/citation-style-language/schema/raw/master/csl-citation.json"}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 xml:space="preserve">Mahfud Junaedi, </w:t>
      </w:r>
      <w:r w:rsidRPr="00E1146D">
        <w:rPr>
          <w:rFonts w:asciiTheme="majorBidi" w:hAnsiTheme="majorBidi" w:cstheme="majorBidi"/>
          <w:i/>
          <w:noProof/>
        </w:rPr>
        <w:t>Paradigma Baru Filsafat Pendidikan Islam</w:t>
      </w:r>
      <w:r w:rsidRPr="00E1146D">
        <w:rPr>
          <w:rFonts w:asciiTheme="majorBidi" w:hAnsiTheme="majorBidi" w:cstheme="majorBidi"/>
          <w:noProof/>
        </w:rPr>
        <w:t>, 2019.</w:t>
      </w:r>
      <w:r w:rsidRPr="00E1146D">
        <w:rPr>
          <w:rFonts w:asciiTheme="majorBidi" w:hAnsiTheme="majorBidi" w:cstheme="majorBidi"/>
        </w:rPr>
        <w:fldChar w:fldCharType="end"/>
      </w:r>
    </w:p>
  </w:footnote>
  <w:footnote w:id="15">
    <w:p w14:paraId="62B80265" w14:textId="77777777" w:rsidR="00B94750" w:rsidRPr="00E1146D" w:rsidRDefault="00B94750" w:rsidP="00B94750">
      <w:pPr>
        <w:pStyle w:val="FootnoteText"/>
        <w:rPr>
          <w:rFonts w:asciiTheme="majorBidi" w:hAnsiTheme="majorBidi" w:cstheme="majorBidi"/>
        </w:rPr>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{"citationItems":[{"id":"ITEM-1","itemData":{"author":[{"dropping-particle":"","family":"Junaedi","given":"Mahfud","non-dropping-particle":"","parse-names":false,"suffix":""}],"id":"ITEM-1","issued":{"date-parts":[["2019"]]},"number-of-pages":"184","title":"Paradigma Baru Filsafat Pendidikan Islam","type":"book"},"uris":["http://www.mendeley.com/documents/?uuid=54492df8-179d-4b91-9ded-1cedd26860dc"]}],"mendeley":{"formattedCitation":"Junaedi, &lt;i&gt;Paradigma Baru Filsafat Pendidikan Islam&lt;/i&gt;.","plainTextFormattedCitation":"Junaedi, Paradigma Baru Filsafat Pendidikan Islam.","previouslyFormattedCitation":"Junaedi, &lt;i&gt;Paradigma Baru Filsafat Pendidikan Islam&lt;/i&gt;."},"properties":{"noteIndex":14},"schema":"https://github.com/citation-style-language/schema/raw/master/csl-citation.json"}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 xml:space="preserve">Junaedi, </w:t>
      </w:r>
      <w:r w:rsidRPr="00E1146D">
        <w:rPr>
          <w:rFonts w:asciiTheme="majorBidi" w:hAnsiTheme="majorBidi" w:cstheme="majorBidi"/>
          <w:i/>
          <w:noProof/>
        </w:rPr>
        <w:t>Paradigma Baru Filsafat Pendidikan Islam</w:t>
      </w:r>
      <w:r w:rsidRPr="00E1146D">
        <w:rPr>
          <w:rFonts w:asciiTheme="majorBidi" w:hAnsiTheme="majorBidi" w:cstheme="majorBidi"/>
          <w:noProof/>
        </w:rPr>
        <w:t>.</w:t>
      </w:r>
      <w:r w:rsidRPr="00E1146D">
        <w:rPr>
          <w:rFonts w:asciiTheme="majorBidi" w:hAnsiTheme="majorBidi" w:cstheme="majorBidi"/>
        </w:rPr>
        <w:fldChar w:fldCharType="end"/>
      </w:r>
    </w:p>
  </w:footnote>
  <w:footnote w:id="16">
    <w:p w14:paraId="4840B7F4" w14:textId="77777777" w:rsidR="00B94750" w:rsidRPr="00E1146D" w:rsidRDefault="00B94750" w:rsidP="00B94750">
      <w:pPr>
        <w:pStyle w:val="FootnoteText"/>
        <w:rPr>
          <w:rFonts w:asciiTheme="majorBidi" w:hAnsiTheme="majorBidi" w:cstheme="majorBidi"/>
        </w:rPr>
      </w:pPr>
      <w:r w:rsidRPr="00E1146D">
        <w:rPr>
          <w:rStyle w:val="FootnoteReference"/>
          <w:rFonts w:asciiTheme="majorBidi" w:hAnsiTheme="majorBidi" w:cstheme="majorBidi"/>
        </w:rPr>
        <w:footnoteRef/>
      </w:r>
      <w:r w:rsidRPr="00E1146D">
        <w:rPr>
          <w:rFonts w:asciiTheme="majorBidi" w:hAnsiTheme="majorBidi" w:cstheme="majorBidi"/>
        </w:rPr>
        <w:t xml:space="preserve"> </w:t>
      </w:r>
      <w:r w:rsidRPr="00E1146D">
        <w:rPr>
          <w:rFonts w:asciiTheme="majorBidi" w:hAnsiTheme="majorBidi" w:cstheme="majorBidi"/>
        </w:rPr>
        <w:fldChar w:fldCharType="begin" w:fldLock="1"/>
      </w:r>
      <w:r w:rsidRPr="00E1146D">
        <w:rPr>
          <w:rFonts w:asciiTheme="majorBidi" w:hAnsiTheme="majorBidi" w:cstheme="majorBidi"/>
        </w:rPr>
        <w:instrText>ADDIN CSL_CITATION {"citationItems":[{"id":"ITEM-1","itemData":{"author":[{"dropping-particle":"","family":"Junaedi","given":"Mahfud","non-dropping-particle":"","parse-names":false,"suffix":""}],"id":"ITEM-1","issued":{"date-parts":[["2019"]]},"number-of-pages":"187","title":"Paradigma Baru Filsafat Pendidikan Islam","type":"book"},"uris":["http://www.mendeley.com/documents/?uuid=9a623ec1-b208-48bf-bc0f-4501e95b5d0c"]}],"mendeley":{"formattedCitation":"Mahfud Junaedi, &lt;i&gt;Paradigma Baru Filsafat Pendidikan Islam&lt;/i&gt;, 2019.","plainTextFormattedCitation":"Mahfud Junaedi, Paradigma Baru Filsafat Pendidikan Islam, 2019.","previouslyFormattedCitation":"Mahfud Junaedi, &lt;i&gt;Paradigma Baru Filsafat Pendidikan Islam&lt;/i&gt;, 2019."},"properties":{"noteIndex":15},"schema":"https://github.com/citation-style-language/schema/raw/master/csl-citation.json"}</w:instrText>
      </w:r>
      <w:r w:rsidRPr="00E1146D">
        <w:rPr>
          <w:rFonts w:asciiTheme="majorBidi" w:hAnsiTheme="majorBidi" w:cstheme="majorBidi"/>
        </w:rPr>
        <w:fldChar w:fldCharType="separate"/>
      </w:r>
      <w:r w:rsidRPr="00E1146D">
        <w:rPr>
          <w:rFonts w:asciiTheme="majorBidi" w:hAnsiTheme="majorBidi" w:cstheme="majorBidi"/>
          <w:noProof/>
        </w:rPr>
        <w:t xml:space="preserve">Mahfud Junaedi, </w:t>
      </w:r>
      <w:r w:rsidRPr="00E1146D">
        <w:rPr>
          <w:rFonts w:asciiTheme="majorBidi" w:hAnsiTheme="majorBidi" w:cstheme="majorBidi"/>
          <w:i/>
          <w:noProof/>
        </w:rPr>
        <w:t>Paradigma Baru Filsafat Pendidikan Islam</w:t>
      </w:r>
      <w:r w:rsidRPr="00E1146D">
        <w:rPr>
          <w:rFonts w:asciiTheme="majorBidi" w:hAnsiTheme="majorBidi" w:cstheme="majorBidi"/>
          <w:noProof/>
        </w:rPr>
        <w:t>, 2019.</w:t>
      </w:r>
      <w:r w:rsidRPr="00E1146D">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5300C"/>
    <w:multiLevelType w:val="hybridMultilevel"/>
    <w:tmpl w:val="C03417C0"/>
    <w:lvl w:ilvl="0" w:tplc="34921EA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156B5D60"/>
    <w:multiLevelType w:val="hybridMultilevel"/>
    <w:tmpl w:val="C8946B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F9D0A59"/>
    <w:multiLevelType w:val="hybridMultilevel"/>
    <w:tmpl w:val="492C7DDE"/>
    <w:lvl w:ilvl="0" w:tplc="D2D016E8">
      <w:start w:val="1"/>
      <w:numFmt w:val="decimal"/>
      <w:lvlText w:val="%1)"/>
      <w:lvlJc w:val="left"/>
      <w:pPr>
        <w:ind w:left="1983" w:hanging="99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31610B96"/>
    <w:multiLevelType w:val="hybridMultilevel"/>
    <w:tmpl w:val="822EB19A"/>
    <w:lvl w:ilvl="0" w:tplc="D6984466">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61831333">
    <w:abstractNumId w:val="2"/>
  </w:num>
  <w:num w:numId="2" w16cid:durableId="1445343028">
    <w:abstractNumId w:val="0"/>
  </w:num>
  <w:num w:numId="3" w16cid:durableId="531655458">
    <w:abstractNumId w:val="3"/>
  </w:num>
  <w:num w:numId="4" w16cid:durableId="1326207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B9"/>
    <w:rsid w:val="00003015"/>
    <w:rsid w:val="00012819"/>
    <w:rsid w:val="0003785D"/>
    <w:rsid w:val="000710B2"/>
    <w:rsid w:val="00087F79"/>
    <w:rsid w:val="000A2439"/>
    <w:rsid w:val="000A6BB2"/>
    <w:rsid w:val="000C7CEF"/>
    <w:rsid w:val="00132019"/>
    <w:rsid w:val="001C55D9"/>
    <w:rsid w:val="001F24E3"/>
    <w:rsid w:val="001F71C7"/>
    <w:rsid w:val="00214EF6"/>
    <w:rsid w:val="00285EAF"/>
    <w:rsid w:val="002905F8"/>
    <w:rsid w:val="002B7D4D"/>
    <w:rsid w:val="00314155"/>
    <w:rsid w:val="003151FC"/>
    <w:rsid w:val="003307F2"/>
    <w:rsid w:val="00333DE7"/>
    <w:rsid w:val="00343633"/>
    <w:rsid w:val="003A592A"/>
    <w:rsid w:val="003B3F64"/>
    <w:rsid w:val="003B5A73"/>
    <w:rsid w:val="003C44EE"/>
    <w:rsid w:val="003D3408"/>
    <w:rsid w:val="003D5496"/>
    <w:rsid w:val="003D7537"/>
    <w:rsid w:val="003E3BBA"/>
    <w:rsid w:val="003F1B9F"/>
    <w:rsid w:val="00411404"/>
    <w:rsid w:val="0045584D"/>
    <w:rsid w:val="00455F36"/>
    <w:rsid w:val="0046400B"/>
    <w:rsid w:val="0046707D"/>
    <w:rsid w:val="00485F3F"/>
    <w:rsid w:val="004A1B19"/>
    <w:rsid w:val="004C094A"/>
    <w:rsid w:val="004C2BE8"/>
    <w:rsid w:val="004C3171"/>
    <w:rsid w:val="004D79CA"/>
    <w:rsid w:val="00514E6D"/>
    <w:rsid w:val="00537EFE"/>
    <w:rsid w:val="00546C5E"/>
    <w:rsid w:val="005A1DD5"/>
    <w:rsid w:val="005D4483"/>
    <w:rsid w:val="005D4EB3"/>
    <w:rsid w:val="00602A73"/>
    <w:rsid w:val="00605A9B"/>
    <w:rsid w:val="00615CE4"/>
    <w:rsid w:val="00622D17"/>
    <w:rsid w:val="006304C8"/>
    <w:rsid w:val="006536E7"/>
    <w:rsid w:val="00660C1D"/>
    <w:rsid w:val="00673879"/>
    <w:rsid w:val="00681652"/>
    <w:rsid w:val="00696377"/>
    <w:rsid w:val="006A70F0"/>
    <w:rsid w:val="006B1886"/>
    <w:rsid w:val="006C4788"/>
    <w:rsid w:val="006E0ED5"/>
    <w:rsid w:val="006E4A6C"/>
    <w:rsid w:val="006F7CC9"/>
    <w:rsid w:val="007076BA"/>
    <w:rsid w:val="00717065"/>
    <w:rsid w:val="00735486"/>
    <w:rsid w:val="007430CE"/>
    <w:rsid w:val="00746BF6"/>
    <w:rsid w:val="00747FB9"/>
    <w:rsid w:val="00753C9D"/>
    <w:rsid w:val="00772724"/>
    <w:rsid w:val="007771C0"/>
    <w:rsid w:val="007956BF"/>
    <w:rsid w:val="007B5AE4"/>
    <w:rsid w:val="00863279"/>
    <w:rsid w:val="00872E84"/>
    <w:rsid w:val="008742D9"/>
    <w:rsid w:val="00875E5B"/>
    <w:rsid w:val="008811D0"/>
    <w:rsid w:val="008A0C9D"/>
    <w:rsid w:val="008B103E"/>
    <w:rsid w:val="008D2048"/>
    <w:rsid w:val="008D7386"/>
    <w:rsid w:val="008F0C9F"/>
    <w:rsid w:val="008F6DA7"/>
    <w:rsid w:val="0094206D"/>
    <w:rsid w:val="00955F7F"/>
    <w:rsid w:val="009C248F"/>
    <w:rsid w:val="009C6A42"/>
    <w:rsid w:val="009D1E8F"/>
    <w:rsid w:val="00A32AEF"/>
    <w:rsid w:val="00A77E96"/>
    <w:rsid w:val="00AA1F1D"/>
    <w:rsid w:val="00AA598F"/>
    <w:rsid w:val="00AE4A40"/>
    <w:rsid w:val="00AE71A9"/>
    <w:rsid w:val="00AE7352"/>
    <w:rsid w:val="00B07927"/>
    <w:rsid w:val="00B07EB7"/>
    <w:rsid w:val="00B12C5A"/>
    <w:rsid w:val="00B13E92"/>
    <w:rsid w:val="00B378C2"/>
    <w:rsid w:val="00B94750"/>
    <w:rsid w:val="00BF7657"/>
    <w:rsid w:val="00C207A8"/>
    <w:rsid w:val="00C448DC"/>
    <w:rsid w:val="00C8511E"/>
    <w:rsid w:val="00C9740A"/>
    <w:rsid w:val="00CC45DE"/>
    <w:rsid w:val="00CD6738"/>
    <w:rsid w:val="00CE43F7"/>
    <w:rsid w:val="00CF717E"/>
    <w:rsid w:val="00D20FBB"/>
    <w:rsid w:val="00D256C3"/>
    <w:rsid w:val="00D9198A"/>
    <w:rsid w:val="00DC4B4F"/>
    <w:rsid w:val="00E03075"/>
    <w:rsid w:val="00E045C2"/>
    <w:rsid w:val="00E0777E"/>
    <w:rsid w:val="00E179A6"/>
    <w:rsid w:val="00E46581"/>
    <w:rsid w:val="00E46BD6"/>
    <w:rsid w:val="00E55335"/>
    <w:rsid w:val="00E56E93"/>
    <w:rsid w:val="00E65301"/>
    <w:rsid w:val="00E67E44"/>
    <w:rsid w:val="00E73A46"/>
    <w:rsid w:val="00E73D56"/>
    <w:rsid w:val="00E769AA"/>
    <w:rsid w:val="00E77143"/>
    <w:rsid w:val="00E82923"/>
    <w:rsid w:val="00EF7C8C"/>
    <w:rsid w:val="00F544AF"/>
    <w:rsid w:val="00F80B0F"/>
    <w:rsid w:val="00FF1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A0F24"/>
  <w15:docId w15:val="{AA5D7457-2EFD-4279-B691-E7B4A1AB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FB9"/>
    <w:pPr>
      <w:spacing w:after="0" w:line="240" w:lineRule="auto"/>
    </w:pPr>
    <w:rPr>
      <w:rFonts w:ascii="Calibri" w:eastAsia="Times New Roman" w:hAnsi="Calibri" w:cs="Times New Roman"/>
      <w:sz w:val="24"/>
      <w:szCs w:val="24"/>
    </w:rPr>
  </w:style>
  <w:style w:type="paragraph" w:styleId="Heading2">
    <w:name w:val="heading 2"/>
    <w:basedOn w:val="Normal"/>
    <w:next w:val="Normal"/>
    <w:link w:val="Heading2Char"/>
    <w:uiPriority w:val="9"/>
    <w:unhideWhenUsed/>
    <w:qFormat/>
    <w:rsid w:val="0045584D"/>
    <w:pPr>
      <w:keepNext/>
      <w:tabs>
        <w:tab w:val="left" w:pos="360"/>
      </w:tabs>
      <w:jc w:val="center"/>
      <w:outlineLvl w:val="1"/>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 Char Char Char,Footnote Text Char Char Char, Char"/>
    <w:basedOn w:val="Normal"/>
    <w:link w:val="FootnoteTextChar"/>
    <w:uiPriority w:val="99"/>
    <w:rsid w:val="00747FB9"/>
    <w:rPr>
      <w:sz w:val="20"/>
      <w:szCs w:val="20"/>
    </w:rPr>
  </w:style>
  <w:style w:type="character" w:customStyle="1" w:styleId="FootnoteTextChar">
    <w:name w:val="Footnote Text Char"/>
    <w:aliases w:val="Char Char,Footnote Text Char Char Char Char Char,Footnote Text Char Char Char Char1, Char Char"/>
    <w:basedOn w:val="DefaultParagraphFont"/>
    <w:link w:val="FootnoteText"/>
    <w:uiPriority w:val="99"/>
    <w:rsid w:val="00747FB9"/>
    <w:rPr>
      <w:rFonts w:ascii="Calibri" w:eastAsia="Times New Roman" w:hAnsi="Calibri" w:cs="Times New Roman"/>
      <w:sz w:val="20"/>
      <w:szCs w:val="20"/>
    </w:rPr>
  </w:style>
  <w:style w:type="character" w:styleId="FootnoteReference">
    <w:name w:val="footnote reference"/>
    <w:uiPriority w:val="99"/>
    <w:rsid w:val="00747FB9"/>
    <w:rPr>
      <w:rFonts w:cs="Times New Roman"/>
      <w:vertAlign w:val="superscript"/>
    </w:rPr>
  </w:style>
  <w:style w:type="paragraph" w:styleId="ListParagraph">
    <w:name w:val="List Paragraph"/>
    <w:aliases w:val="Body of text,List Paragraph1"/>
    <w:basedOn w:val="Normal"/>
    <w:link w:val="ListParagraphChar"/>
    <w:uiPriority w:val="34"/>
    <w:qFormat/>
    <w:rsid w:val="00747FB9"/>
    <w:pPr>
      <w:ind w:left="720"/>
    </w:pPr>
  </w:style>
  <w:style w:type="character" w:customStyle="1" w:styleId="ListParagraphChar">
    <w:name w:val="List Paragraph Char"/>
    <w:aliases w:val="Body of text Char,List Paragraph1 Char"/>
    <w:link w:val="ListParagraph"/>
    <w:uiPriority w:val="99"/>
    <w:locked/>
    <w:rsid w:val="00747FB9"/>
    <w:rPr>
      <w:rFonts w:ascii="Calibri" w:eastAsia="Times New Roman" w:hAnsi="Calibri" w:cs="Times New Roman"/>
      <w:sz w:val="24"/>
      <w:szCs w:val="24"/>
    </w:rPr>
  </w:style>
  <w:style w:type="paragraph" w:customStyle="1" w:styleId="Default">
    <w:name w:val="Default"/>
    <w:rsid w:val="00747FB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unhideWhenUsed/>
    <w:rsid w:val="00747FB9"/>
    <w:rPr>
      <w:color w:val="0000FF"/>
      <w:u w:val="single"/>
    </w:rPr>
  </w:style>
  <w:style w:type="paragraph" w:styleId="Footer">
    <w:name w:val="footer"/>
    <w:basedOn w:val="Normal"/>
    <w:link w:val="FooterChar"/>
    <w:uiPriority w:val="99"/>
    <w:unhideWhenUsed/>
    <w:rsid w:val="006E4A6C"/>
    <w:pPr>
      <w:tabs>
        <w:tab w:val="center" w:pos="4513"/>
        <w:tab w:val="right" w:pos="9026"/>
      </w:tabs>
    </w:pPr>
    <w:rPr>
      <w:rFonts w:asciiTheme="minorHAnsi" w:eastAsiaTheme="minorHAnsi" w:hAnsiTheme="minorHAnsi" w:cstheme="minorBidi"/>
      <w:sz w:val="22"/>
      <w:szCs w:val="22"/>
      <w:lang w:val="id-ID"/>
    </w:rPr>
  </w:style>
  <w:style w:type="character" w:customStyle="1" w:styleId="FooterChar">
    <w:name w:val="Footer Char"/>
    <w:basedOn w:val="DefaultParagraphFont"/>
    <w:link w:val="Footer"/>
    <w:uiPriority w:val="99"/>
    <w:rsid w:val="006E4A6C"/>
    <w:rPr>
      <w:lang w:val="id-ID"/>
    </w:rPr>
  </w:style>
  <w:style w:type="character" w:customStyle="1" w:styleId="Heading2Char">
    <w:name w:val="Heading 2 Char"/>
    <w:basedOn w:val="DefaultParagraphFont"/>
    <w:link w:val="Heading2"/>
    <w:uiPriority w:val="9"/>
    <w:rsid w:val="0045584D"/>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735486"/>
    <w:rPr>
      <w:color w:val="808080"/>
    </w:rPr>
  </w:style>
  <w:style w:type="character" w:styleId="UnresolvedMention">
    <w:name w:val="Unresolved Mention"/>
    <w:basedOn w:val="DefaultParagraphFont"/>
    <w:uiPriority w:val="99"/>
    <w:semiHidden/>
    <w:unhideWhenUsed/>
    <w:rsid w:val="00735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3196</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HP</cp:lastModifiedBy>
  <cp:revision>5</cp:revision>
  <dcterms:created xsi:type="dcterms:W3CDTF">2022-10-06T14:45:00Z</dcterms:created>
  <dcterms:modified xsi:type="dcterms:W3CDTF">2024-05-10T08:01:00Z</dcterms:modified>
</cp:coreProperties>
</file>