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1A40E238" w:rsidR="00E97A72" w:rsidRPr="00DB662E" w:rsidRDefault="000417BF" w:rsidP="005E0BB2">
      <w:pPr>
        <w:pStyle w:val="Heading7"/>
        <w:jc w:val="center"/>
        <w:rPr>
          <w:b/>
          <w:bCs/>
        </w:rPr>
      </w:pPr>
      <w:r w:rsidRPr="000417BF">
        <w:rPr>
          <w:rFonts w:ascii="Cambria" w:eastAsia="Cambria" w:hAnsi="Cambria"/>
          <w:b/>
          <w:bCs/>
          <w:spacing w:val="-4"/>
          <w:lang w:val="id-ID" w:eastAsia="id-ID"/>
        </w:rPr>
        <w:t>Persepsi Calon Guru Madrasah Ibtidaiyah terhadap Pembelajaran Daring di Masa Pasca-Pandemi</w:t>
      </w:r>
    </w:p>
    <w:p w14:paraId="64DDFE70" w14:textId="77777777" w:rsidR="00E97A72" w:rsidRDefault="00E97A72">
      <w:pPr>
        <w:spacing w:after="60" w:line="240" w:lineRule="auto"/>
        <w:jc w:val="center"/>
        <w:rPr>
          <w:rFonts w:ascii="Cambria" w:eastAsia="Cambria" w:hAnsi="Cambria" w:cs="Cambria"/>
          <w:b/>
          <w:color w:val="000000"/>
        </w:rPr>
      </w:pPr>
    </w:p>
    <w:p w14:paraId="33770321" w14:textId="64037420" w:rsidR="00E97A72" w:rsidRDefault="000567E6" w:rsidP="00653BB2">
      <w:pPr>
        <w:pStyle w:val="02Author"/>
      </w:pPr>
      <w:proofErr w:type="spellStart"/>
      <w:r w:rsidRPr="000567E6">
        <w:t>Afina</w:t>
      </w:r>
      <w:proofErr w:type="spellEnd"/>
      <w:r w:rsidRPr="000567E6">
        <w:t xml:space="preserve"> </w:t>
      </w:r>
      <w:proofErr w:type="spellStart"/>
      <w:r w:rsidRPr="000567E6">
        <w:t>Wastyanti</w:t>
      </w:r>
      <w:proofErr w:type="spellEnd"/>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537E1EEC" w14:textId="77777777" w:rsidR="000417BF" w:rsidRPr="000417BF" w:rsidRDefault="000417BF" w:rsidP="000417BF">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0417BF">
        <w:rPr>
          <w:rFonts w:ascii="Cambria" w:eastAsia="Cambria" w:hAnsi="Cambria" w:cs="Times New Roman"/>
          <w:spacing w:val="-4"/>
          <w:sz w:val="24"/>
          <w:szCs w:val="24"/>
          <w:lang w:val="id-ID" w:eastAsia="id-ID"/>
        </w:rPr>
        <w:t>Pembelajaran daring yang berkembang pesat selama pandemi COVID-19 telah meninggalkan dampak jangka panjang dalam dunia pendidikan, termasuk pada ranah pendidikan guru. Penelitian ini bertujuan untuk mengetahui persepsi calon guru Madrasah Ibtidaiyah (MI) terhadap keberlanjutan pembelajaran daring di masa pasca-pandemi. Dengan pendekatan kualitatif deskriptif, data diperoleh dari wawancara dan kuesioner terhadap mahasiswa Program Studi Pendidikan Guru Madrasah Ibtidaiyah (PGMI) di salah satu perguruan tinggi Islam. Hasil penelitian menunjukkan bahwa sebagian besar calon guru memandang pembelajaran daring sebagai solusi alternatif yang efisien, meskipun tidak dapat sepenuhnya menggantikan pembelajaran tatap muka. Tantangan seperti keterbatasan interaksi, kendala jaringan, dan motivasi belajar masih menjadi hambatan utama. Namun, mereka juga menyadari pentingnya literasi digital dan blended learning sebagai pendekatan masa depan. Penelitian ini memberikan rekomendasi untuk memperkuat kurikulum PGMI dengan kompetensi teknologi pendidikan dan pedagogi digital.</w:t>
      </w:r>
    </w:p>
    <w:p w14:paraId="28752571" w14:textId="77777777" w:rsidR="000417BF" w:rsidRPr="000417BF" w:rsidRDefault="000417BF" w:rsidP="000417BF">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12A347F" w14:textId="77777777" w:rsidR="000417BF" w:rsidRPr="000417BF" w:rsidRDefault="000417BF" w:rsidP="000417BF">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r w:rsidRPr="000417BF">
        <w:rPr>
          <w:rFonts w:ascii="Cambria" w:eastAsia="Cambria" w:hAnsi="Cambria" w:cs="Times New Roman"/>
          <w:spacing w:val="-4"/>
          <w:sz w:val="24"/>
          <w:szCs w:val="24"/>
          <w:lang w:val="id-ID" w:eastAsia="id-ID"/>
        </w:rPr>
        <w:t>Kata kunci: calon guru, madrasah ibtidaiyah, pembelajaran daring, pasca-pandemi, persepsi mahasiswa</w:t>
      </w:r>
    </w:p>
    <w:p w14:paraId="740B28EE" w14:textId="388EA5DF" w:rsidR="00722392" w:rsidRPr="00722392" w:rsidRDefault="00722392" w:rsidP="00722392">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32E807A8" w:rsidR="00E97A72" w:rsidRPr="00722392" w:rsidRDefault="00E97A72" w:rsidP="00E514FD">
      <w:pPr>
        <w:pBdr>
          <w:bottom w:val="single" w:sz="4" w:space="3" w:color="000000"/>
        </w:pBdr>
        <w:spacing w:after="0" w:line="240" w:lineRule="auto"/>
        <w:ind w:left="567" w:right="567"/>
        <w:jc w:val="both"/>
        <w:rPr>
          <w:rFonts w:ascii="Cambria" w:eastAsia="Cambria" w:hAnsi="Cambria" w:cs="Cambria"/>
          <w:color w:val="0000FF"/>
          <w:sz w:val="18"/>
          <w:szCs w:val="18"/>
          <w:lang w:val="id-ID"/>
        </w:rPr>
      </w:pPr>
    </w:p>
    <w:p w14:paraId="18C6938F" w14:textId="77777777" w:rsidR="00E97A72" w:rsidRPr="002408CE" w:rsidRDefault="00857185" w:rsidP="003A725C">
      <w:pPr>
        <w:pStyle w:val="07HEADA"/>
        <w:ind w:left="270" w:hanging="270"/>
      </w:pPr>
      <w:r w:rsidRPr="002408CE">
        <w:t>INTRODUCTION</w:t>
      </w:r>
    </w:p>
    <w:p w14:paraId="594A40B1" w14:textId="773687E4" w:rsidR="000417BF" w:rsidRPr="000417BF" w:rsidRDefault="000417BF" w:rsidP="000417BF">
      <w:pPr>
        <w:pStyle w:val="08BodyArticle"/>
        <w:spacing w:line="360" w:lineRule="auto"/>
        <w:ind w:left="274" w:firstLine="446"/>
        <w:rPr>
          <w:rFonts w:eastAsia="Cambria"/>
        </w:rPr>
      </w:pPr>
      <w:r w:rsidRPr="000417BF">
        <w:rPr>
          <w:rFonts w:eastAsia="Cambria"/>
        </w:rPr>
        <w:t>Pandemi COVID-19 telah memaksa dunia pendidikan untuk beradaptasi dengan pembelajaran berbasis teknologi secara cepat. Pembelajaran daring (online learning) menjadi alternatif utama dalam menjaga kelangsungan proses pendidikan selama masa darurat tersebut, termasuk di lingkungan madrasah dan lembaga pendidikan keguruan.</w:t>
      </w:r>
    </w:p>
    <w:p w14:paraId="10A0A803" w14:textId="77777777" w:rsidR="000417BF" w:rsidRPr="000417BF" w:rsidRDefault="000417BF" w:rsidP="000417BF">
      <w:pPr>
        <w:pStyle w:val="08BodyArticle"/>
        <w:spacing w:line="360" w:lineRule="auto"/>
        <w:ind w:left="274" w:firstLine="446"/>
        <w:rPr>
          <w:rFonts w:eastAsia="Cambria"/>
        </w:rPr>
      </w:pPr>
    </w:p>
    <w:p w14:paraId="7E5A292B" w14:textId="225D7AA3" w:rsidR="000417BF" w:rsidRPr="000417BF" w:rsidRDefault="000417BF" w:rsidP="000417BF">
      <w:pPr>
        <w:pStyle w:val="08BodyArticle"/>
        <w:spacing w:line="360" w:lineRule="auto"/>
        <w:ind w:left="274" w:firstLine="446"/>
        <w:rPr>
          <w:rFonts w:eastAsia="Cambria"/>
        </w:rPr>
      </w:pPr>
      <w:r w:rsidRPr="000417BF">
        <w:rPr>
          <w:rFonts w:eastAsia="Cambria"/>
        </w:rPr>
        <w:t xml:space="preserve">Mahasiswa Program Studi PGMI sebagai calon guru Madrasah Ibtidaiyah merupakan generasi pendidik yang akan menghadapi dunia pendidikan di masa yang telah berubah. Mereka harus mampu </w:t>
      </w:r>
      <w:r w:rsidRPr="000417BF">
        <w:rPr>
          <w:rFonts w:eastAsia="Cambria"/>
        </w:rPr>
        <w:lastRenderedPageBreak/>
        <w:t>memadukan pendekatan pedagogis klasik dengan teknologi digital yang kian mendominasi ruang belajar.</w:t>
      </w:r>
    </w:p>
    <w:p w14:paraId="63EA4BA8" w14:textId="77777777" w:rsidR="000417BF" w:rsidRPr="000417BF" w:rsidRDefault="000417BF" w:rsidP="000417BF">
      <w:pPr>
        <w:pStyle w:val="08BodyArticle"/>
        <w:spacing w:line="360" w:lineRule="auto"/>
        <w:ind w:left="274" w:firstLine="446"/>
        <w:rPr>
          <w:rFonts w:eastAsia="Cambria"/>
        </w:rPr>
      </w:pPr>
    </w:p>
    <w:p w14:paraId="2E6561BF" w14:textId="169D0F37" w:rsidR="000417BF" w:rsidRPr="000417BF" w:rsidRDefault="000417BF" w:rsidP="000417BF">
      <w:pPr>
        <w:pStyle w:val="08BodyArticle"/>
        <w:spacing w:line="360" w:lineRule="auto"/>
        <w:ind w:left="274" w:firstLine="446"/>
        <w:rPr>
          <w:rFonts w:eastAsia="Cambria"/>
        </w:rPr>
      </w:pPr>
      <w:r w:rsidRPr="000417BF">
        <w:rPr>
          <w:rFonts w:eastAsia="Cambria"/>
        </w:rPr>
        <w:t>Setelah masa pandemi mereda, pembelajaran tatap muka mulai kembali diberlakukan. Namun, pembelajaran daring tidak serta-merta ditinggalkan. Konsep blended learning atau hybrid learning menjadi pendekatan baru yang banyak didorong dalam kebijakan pendidikan nasional, termasuk pada madrasah.</w:t>
      </w:r>
    </w:p>
    <w:p w14:paraId="02639D94" w14:textId="77777777" w:rsidR="000417BF" w:rsidRPr="000417BF" w:rsidRDefault="000417BF" w:rsidP="000417BF">
      <w:pPr>
        <w:pStyle w:val="08BodyArticle"/>
        <w:spacing w:line="360" w:lineRule="auto"/>
        <w:ind w:left="274" w:firstLine="446"/>
        <w:rPr>
          <w:rFonts w:eastAsia="Cambria"/>
        </w:rPr>
      </w:pPr>
    </w:p>
    <w:p w14:paraId="42A0EB4A" w14:textId="15EF40FE" w:rsidR="000417BF" w:rsidRPr="000417BF" w:rsidRDefault="000417BF" w:rsidP="000417BF">
      <w:pPr>
        <w:pStyle w:val="08BodyArticle"/>
        <w:spacing w:line="360" w:lineRule="auto"/>
        <w:ind w:left="274" w:firstLine="446"/>
        <w:rPr>
          <w:rFonts w:eastAsia="Cambria"/>
        </w:rPr>
      </w:pPr>
      <w:r w:rsidRPr="000417BF">
        <w:rPr>
          <w:rFonts w:eastAsia="Cambria"/>
        </w:rPr>
        <w:t>Persepsi calon guru terhadap efektivitas dan relevansi pembelajaran daring di masa pasca-pandemi menjadi hal penting untuk diketahui. Hal ini berkaitan erat dengan kesiapan mereka dalam menghadapi tantangan pengajaran berbasis teknologi, khususnya dalam konteks madrasah yang memiliki karakteristik tersendiri.</w:t>
      </w:r>
    </w:p>
    <w:p w14:paraId="326F5C63" w14:textId="77777777" w:rsidR="000417BF" w:rsidRPr="000417BF" w:rsidRDefault="000417BF" w:rsidP="000417BF">
      <w:pPr>
        <w:pStyle w:val="08BodyArticle"/>
        <w:spacing w:line="360" w:lineRule="auto"/>
        <w:ind w:left="274" w:firstLine="446"/>
        <w:rPr>
          <w:rFonts w:eastAsia="Cambria"/>
        </w:rPr>
      </w:pPr>
    </w:p>
    <w:p w14:paraId="71998190" w14:textId="050B19F3" w:rsidR="0010376F" w:rsidRPr="00E90C11" w:rsidRDefault="000417BF" w:rsidP="000417BF">
      <w:pPr>
        <w:pStyle w:val="08BodyArticle"/>
        <w:spacing w:line="360" w:lineRule="auto"/>
        <w:ind w:left="274" w:firstLine="446"/>
        <w:rPr>
          <w:rFonts w:eastAsia="Cambria"/>
          <w:lang w:val="en-US"/>
        </w:rPr>
      </w:pPr>
      <w:r w:rsidRPr="000417BF">
        <w:rPr>
          <w:rFonts w:eastAsia="Cambria"/>
        </w:rPr>
        <w:t>Penelitian ini bertujuan untuk menggali pandangan, pengalaman, dan harapan calon guru MI terhadap pembelajaran daring di era baru ini, serta bagaimana mereka menilai efektivitas, kendala, dan potensi pengembangan pembelajaran daring dalam praktik pendidikan Islam dasar.</w:t>
      </w:r>
    </w:p>
    <w:p w14:paraId="3B2AAFFF" w14:textId="77777777" w:rsidR="004972F0" w:rsidRDefault="004972F0" w:rsidP="000124AB">
      <w:pPr>
        <w:pStyle w:val="07HEADA"/>
        <w:ind w:left="270" w:hanging="270"/>
      </w:pPr>
      <w:r>
        <w:t>LITERATURE REVIEW</w:t>
      </w:r>
    </w:p>
    <w:p w14:paraId="334E3018" w14:textId="1AD3FB30" w:rsidR="000417BF" w:rsidRPr="000417BF" w:rsidRDefault="000417BF" w:rsidP="000417BF">
      <w:pPr>
        <w:pStyle w:val="08BodyArticle"/>
        <w:spacing w:line="360" w:lineRule="auto"/>
        <w:ind w:left="270" w:firstLine="450"/>
        <w:rPr>
          <w:rFonts w:eastAsia="Cambria"/>
        </w:rPr>
      </w:pPr>
      <w:r w:rsidRPr="000417BF">
        <w:rPr>
          <w:rFonts w:eastAsia="Cambria"/>
        </w:rPr>
        <w:t>Pembelajaran daring didefinisikan sebagai proses pembelajaran yang memanfaatkan jaringan internet sebagai media utama, dengan penggunaan platform digital seperti Learning Management System (LMS), video conference, dan media sosial pendidikan (Anderson, 2011).</w:t>
      </w:r>
    </w:p>
    <w:p w14:paraId="5997E1CF" w14:textId="77777777" w:rsidR="000417BF" w:rsidRPr="000417BF" w:rsidRDefault="000417BF" w:rsidP="000417BF">
      <w:pPr>
        <w:pStyle w:val="08BodyArticle"/>
        <w:spacing w:line="360" w:lineRule="auto"/>
        <w:ind w:left="270" w:firstLine="450"/>
        <w:rPr>
          <w:rFonts w:eastAsia="Cambria"/>
        </w:rPr>
      </w:pPr>
    </w:p>
    <w:p w14:paraId="32BE9AEA" w14:textId="1ADC91D9" w:rsidR="000417BF" w:rsidRPr="000417BF" w:rsidRDefault="000417BF" w:rsidP="000417BF">
      <w:pPr>
        <w:pStyle w:val="08BodyArticle"/>
        <w:spacing w:line="360" w:lineRule="auto"/>
        <w:ind w:left="270" w:firstLine="450"/>
        <w:rPr>
          <w:rFonts w:eastAsia="Cambria"/>
        </w:rPr>
      </w:pPr>
      <w:r w:rsidRPr="000417BF">
        <w:rPr>
          <w:rFonts w:eastAsia="Cambria"/>
        </w:rPr>
        <w:t>Menurut Hodges et al. (2020), pembelajaran daring yang terencana (online learning) berbeda dengan emergency remote teaching (ERT) yang terjadi selama pandemi. ERT cenderung bersifat darurat dan tidak terstruktur secara optimal, meskipun menjadi dasar pengalaman digital bagi banyak guru dan siswa.</w:t>
      </w:r>
    </w:p>
    <w:p w14:paraId="5549DF3E" w14:textId="77777777" w:rsidR="000417BF" w:rsidRPr="000417BF" w:rsidRDefault="000417BF" w:rsidP="000417BF">
      <w:pPr>
        <w:pStyle w:val="08BodyArticle"/>
        <w:spacing w:line="360" w:lineRule="auto"/>
        <w:ind w:left="270" w:firstLine="450"/>
        <w:rPr>
          <w:rFonts w:eastAsia="Cambria"/>
        </w:rPr>
      </w:pPr>
    </w:p>
    <w:p w14:paraId="0E063E5E" w14:textId="7DE37A6D" w:rsidR="000417BF" w:rsidRPr="000417BF" w:rsidRDefault="000417BF" w:rsidP="000417BF">
      <w:pPr>
        <w:pStyle w:val="08BodyArticle"/>
        <w:spacing w:line="360" w:lineRule="auto"/>
        <w:ind w:left="270" w:firstLine="450"/>
        <w:rPr>
          <w:rFonts w:eastAsia="Cambria"/>
        </w:rPr>
      </w:pPr>
      <w:r w:rsidRPr="000417BF">
        <w:rPr>
          <w:rFonts w:eastAsia="Cambria"/>
        </w:rPr>
        <w:t>Dalam konteks pendidikan guru MI, literasi digital dan keterampilan pedagogi teknologi (technological pedagogical content knowledge/TPACK) menjadi kompetensi kunci dalam menghadapi tantangan pembelajaran modern (Mishra &amp; Koehler, 2006). Hal ini menuntut kurikulum PGMI untuk adaptif terhadap perkembangan teknologi pendidikan.</w:t>
      </w:r>
    </w:p>
    <w:p w14:paraId="209364C2" w14:textId="77777777" w:rsidR="000417BF" w:rsidRPr="000417BF" w:rsidRDefault="000417BF" w:rsidP="000417BF">
      <w:pPr>
        <w:pStyle w:val="08BodyArticle"/>
        <w:spacing w:line="360" w:lineRule="auto"/>
        <w:ind w:left="270" w:firstLine="450"/>
        <w:rPr>
          <w:rFonts w:eastAsia="Cambria"/>
        </w:rPr>
      </w:pPr>
    </w:p>
    <w:p w14:paraId="518D1A54" w14:textId="339BDFBF" w:rsidR="000417BF" w:rsidRPr="000417BF" w:rsidRDefault="000417BF" w:rsidP="000417BF">
      <w:pPr>
        <w:pStyle w:val="08BodyArticle"/>
        <w:spacing w:line="360" w:lineRule="auto"/>
        <w:ind w:left="270" w:firstLine="450"/>
        <w:rPr>
          <w:rFonts w:eastAsia="Cambria"/>
        </w:rPr>
      </w:pPr>
      <w:r w:rsidRPr="000417BF">
        <w:rPr>
          <w:rFonts w:eastAsia="Cambria"/>
        </w:rPr>
        <w:t xml:space="preserve">Beberapa penelitian sebelumnya mengungkapkan bahwa mahasiswa PGMI mengalami kendala dalam pembelajaran daring, seperti kurangnya interaksi, keterbatasan perangkat, dan kejenuhan </w:t>
      </w:r>
      <w:r w:rsidRPr="000417BF">
        <w:rPr>
          <w:rFonts w:eastAsia="Cambria"/>
        </w:rPr>
        <w:lastRenderedPageBreak/>
        <w:t>dalam mengikuti perkuliahan jarak jauh (Rohman et al., 2021). Namun, mereka juga menunjukkan potensi tinggi dalam adaptasi teknologi.</w:t>
      </w:r>
    </w:p>
    <w:p w14:paraId="2D37D6AB" w14:textId="77777777" w:rsidR="000417BF" w:rsidRPr="000417BF" w:rsidRDefault="000417BF" w:rsidP="000417BF">
      <w:pPr>
        <w:pStyle w:val="08BodyArticle"/>
        <w:spacing w:line="360" w:lineRule="auto"/>
        <w:ind w:left="270" w:firstLine="450"/>
        <w:rPr>
          <w:rFonts w:eastAsia="Cambria"/>
        </w:rPr>
      </w:pPr>
    </w:p>
    <w:p w14:paraId="523322E8" w14:textId="0ECEEE62" w:rsidR="000417BF" w:rsidRPr="000417BF" w:rsidRDefault="000417BF" w:rsidP="000417BF">
      <w:pPr>
        <w:pStyle w:val="08BodyArticle"/>
        <w:spacing w:line="360" w:lineRule="auto"/>
        <w:ind w:left="270" w:firstLine="450"/>
        <w:rPr>
          <w:rFonts w:eastAsia="Cambria"/>
        </w:rPr>
      </w:pPr>
      <w:r w:rsidRPr="000417BF">
        <w:rPr>
          <w:rFonts w:eastAsia="Cambria"/>
        </w:rPr>
        <w:t>Dalam kerangka Kurikulum Merdeka, pembelajaran daring bukan lagi opsi darurat, melainkan bagian dari inovasi pembelajaran. Oleh karena itu, penting bagi calon guru MI memiliki persepsi positif dan keterampilan memadai agar dapat mengintegrasikan pembelajaran daring ke dalam praktik pendidikan yang bermakna.</w:t>
      </w:r>
    </w:p>
    <w:p w14:paraId="5957101C" w14:textId="1956D5A1" w:rsidR="00BD21A3" w:rsidRPr="00E514FD" w:rsidRDefault="00722392" w:rsidP="00722392">
      <w:pPr>
        <w:pStyle w:val="08BodyArticle"/>
        <w:spacing w:line="360" w:lineRule="auto"/>
        <w:ind w:left="270" w:firstLine="450"/>
        <w:rPr>
          <w:rFonts w:eastAsia="Cambria"/>
        </w:rPr>
      </w:pPr>
      <w:r w:rsidRPr="00722392">
        <w:rPr>
          <w:rFonts w:eastAsia="Cambria"/>
        </w:rPr>
        <w:t>.</w:t>
      </w:r>
    </w:p>
    <w:p w14:paraId="190AAF9F" w14:textId="46E7AE38" w:rsidR="00E97A72" w:rsidRPr="006618DA" w:rsidRDefault="00857185" w:rsidP="002D5760">
      <w:pPr>
        <w:pStyle w:val="07HEADA"/>
        <w:ind w:left="270" w:hanging="270"/>
      </w:pPr>
      <w:r>
        <w:t>RESEARCH METHOD</w:t>
      </w:r>
    </w:p>
    <w:p w14:paraId="460F9EA0" w14:textId="77777777" w:rsidR="000417BF" w:rsidRPr="000417BF" w:rsidRDefault="000417BF" w:rsidP="000417BF">
      <w:pPr>
        <w:pStyle w:val="08BodyArticle"/>
        <w:spacing w:line="360" w:lineRule="auto"/>
        <w:ind w:left="274" w:firstLine="446"/>
        <w:rPr>
          <w:rFonts w:eastAsia="Cambria"/>
          <w:lang w:val="en-US"/>
        </w:rPr>
      </w:pPr>
      <w:proofErr w:type="spellStart"/>
      <w:r w:rsidRPr="000417BF">
        <w:rPr>
          <w:rFonts w:eastAsia="Cambria"/>
          <w:lang w:val="en-US"/>
        </w:rPr>
        <w:t>Penelitian</w:t>
      </w:r>
      <w:proofErr w:type="spellEnd"/>
      <w:r w:rsidRPr="000417BF">
        <w:rPr>
          <w:rFonts w:eastAsia="Cambria"/>
          <w:lang w:val="en-US"/>
        </w:rPr>
        <w:t xml:space="preserve"> </w:t>
      </w:r>
      <w:proofErr w:type="spellStart"/>
      <w:r w:rsidRPr="000417BF">
        <w:rPr>
          <w:rFonts w:eastAsia="Cambria"/>
          <w:lang w:val="en-US"/>
        </w:rPr>
        <w:t>ini</w:t>
      </w:r>
      <w:proofErr w:type="spellEnd"/>
      <w:r w:rsidRPr="000417BF">
        <w:rPr>
          <w:rFonts w:eastAsia="Cambria"/>
          <w:lang w:val="en-US"/>
        </w:rPr>
        <w:t xml:space="preserve"> </w:t>
      </w:r>
      <w:proofErr w:type="spellStart"/>
      <w:r w:rsidRPr="000417BF">
        <w:rPr>
          <w:rFonts w:eastAsia="Cambria"/>
          <w:lang w:val="en-US"/>
        </w:rPr>
        <w:t>menggunakan</w:t>
      </w:r>
      <w:proofErr w:type="spellEnd"/>
      <w:r w:rsidRPr="000417BF">
        <w:rPr>
          <w:rFonts w:eastAsia="Cambria"/>
          <w:lang w:val="en-US"/>
        </w:rPr>
        <w:t xml:space="preserve"> </w:t>
      </w:r>
      <w:proofErr w:type="spellStart"/>
      <w:r w:rsidRPr="000417BF">
        <w:rPr>
          <w:rFonts w:eastAsia="Cambria"/>
          <w:lang w:val="en-US"/>
        </w:rPr>
        <w:t>pendekatan</w:t>
      </w:r>
      <w:proofErr w:type="spellEnd"/>
      <w:r w:rsidRPr="000417BF">
        <w:rPr>
          <w:rFonts w:eastAsia="Cambria"/>
          <w:lang w:val="en-US"/>
        </w:rPr>
        <w:t xml:space="preserve"> </w:t>
      </w:r>
      <w:proofErr w:type="spellStart"/>
      <w:r w:rsidRPr="000417BF">
        <w:rPr>
          <w:rFonts w:eastAsia="Cambria"/>
          <w:lang w:val="en-US"/>
        </w:rPr>
        <w:t>kualitatif</w:t>
      </w:r>
      <w:proofErr w:type="spellEnd"/>
      <w:r w:rsidRPr="000417BF">
        <w:rPr>
          <w:rFonts w:eastAsia="Cambria"/>
          <w:lang w:val="en-US"/>
        </w:rPr>
        <w:t xml:space="preserve"> </w:t>
      </w:r>
      <w:proofErr w:type="spellStart"/>
      <w:r w:rsidRPr="000417BF">
        <w:rPr>
          <w:rFonts w:eastAsia="Cambria"/>
          <w:lang w:val="en-US"/>
        </w:rPr>
        <w:t>deskriptif</w:t>
      </w:r>
      <w:proofErr w:type="spellEnd"/>
      <w:r w:rsidRPr="000417BF">
        <w:rPr>
          <w:rFonts w:eastAsia="Cambria"/>
          <w:lang w:val="en-US"/>
        </w:rPr>
        <w:t xml:space="preserve">. </w:t>
      </w:r>
      <w:proofErr w:type="spellStart"/>
      <w:r w:rsidRPr="000417BF">
        <w:rPr>
          <w:rFonts w:eastAsia="Cambria"/>
          <w:lang w:val="en-US"/>
        </w:rPr>
        <w:t>Subjek</w:t>
      </w:r>
      <w:proofErr w:type="spellEnd"/>
      <w:r w:rsidRPr="000417BF">
        <w:rPr>
          <w:rFonts w:eastAsia="Cambria"/>
          <w:lang w:val="en-US"/>
        </w:rPr>
        <w:t xml:space="preserve"> </w:t>
      </w:r>
      <w:proofErr w:type="spellStart"/>
      <w:r w:rsidRPr="000417BF">
        <w:rPr>
          <w:rFonts w:eastAsia="Cambria"/>
          <w:lang w:val="en-US"/>
        </w:rPr>
        <w:t>penelitian</w:t>
      </w:r>
      <w:proofErr w:type="spellEnd"/>
      <w:r w:rsidRPr="000417BF">
        <w:rPr>
          <w:rFonts w:eastAsia="Cambria"/>
          <w:lang w:val="en-US"/>
        </w:rPr>
        <w:t xml:space="preserve"> </w:t>
      </w:r>
      <w:proofErr w:type="spellStart"/>
      <w:r w:rsidRPr="000417BF">
        <w:rPr>
          <w:rFonts w:eastAsia="Cambria"/>
          <w:lang w:val="en-US"/>
        </w:rPr>
        <w:t>adalah</w:t>
      </w:r>
      <w:proofErr w:type="spellEnd"/>
      <w:r w:rsidRPr="000417BF">
        <w:rPr>
          <w:rFonts w:eastAsia="Cambria"/>
          <w:lang w:val="en-US"/>
        </w:rPr>
        <w:t xml:space="preserve"> 20 </w:t>
      </w:r>
      <w:proofErr w:type="spellStart"/>
      <w:r w:rsidRPr="000417BF">
        <w:rPr>
          <w:rFonts w:eastAsia="Cambria"/>
          <w:lang w:val="en-US"/>
        </w:rPr>
        <w:t>mahasiswa</w:t>
      </w:r>
      <w:proofErr w:type="spellEnd"/>
      <w:r w:rsidRPr="000417BF">
        <w:rPr>
          <w:rFonts w:eastAsia="Cambria"/>
          <w:lang w:val="en-US"/>
        </w:rPr>
        <w:t xml:space="preserve"> semester </w:t>
      </w:r>
      <w:proofErr w:type="spellStart"/>
      <w:r w:rsidRPr="000417BF">
        <w:rPr>
          <w:rFonts w:eastAsia="Cambria"/>
          <w:lang w:val="en-US"/>
        </w:rPr>
        <w:t>akhir</w:t>
      </w:r>
      <w:proofErr w:type="spellEnd"/>
      <w:r w:rsidRPr="000417BF">
        <w:rPr>
          <w:rFonts w:eastAsia="Cambria"/>
          <w:lang w:val="en-US"/>
        </w:rPr>
        <w:t xml:space="preserve"> Program </w:t>
      </w:r>
      <w:proofErr w:type="spellStart"/>
      <w:r w:rsidRPr="000417BF">
        <w:rPr>
          <w:rFonts w:eastAsia="Cambria"/>
          <w:lang w:val="en-US"/>
        </w:rPr>
        <w:t>Studi</w:t>
      </w:r>
      <w:proofErr w:type="spellEnd"/>
      <w:r w:rsidRPr="000417BF">
        <w:rPr>
          <w:rFonts w:eastAsia="Cambria"/>
          <w:lang w:val="en-US"/>
        </w:rPr>
        <w:t xml:space="preserve"> PGMI di </w:t>
      </w:r>
      <w:proofErr w:type="spellStart"/>
      <w:r w:rsidRPr="000417BF">
        <w:rPr>
          <w:rFonts w:eastAsia="Cambria"/>
          <w:lang w:val="en-US"/>
        </w:rPr>
        <w:t>sebuah</w:t>
      </w:r>
      <w:proofErr w:type="spellEnd"/>
      <w:r w:rsidRPr="000417BF">
        <w:rPr>
          <w:rFonts w:eastAsia="Cambria"/>
          <w:lang w:val="en-US"/>
        </w:rPr>
        <w:t xml:space="preserve"> </w:t>
      </w:r>
      <w:proofErr w:type="spellStart"/>
      <w:r w:rsidRPr="000417BF">
        <w:rPr>
          <w:rFonts w:eastAsia="Cambria"/>
          <w:lang w:val="en-US"/>
        </w:rPr>
        <w:t>perguruan</w:t>
      </w:r>
      <w:proofErr w:type="spellEnd"/>
      <w:r w:rsidRPr="000417BF">
        <w:rPr>
          <w:rFonts w:eastAsia="Cambria"/>
          <w:lang w:val="en-US"/>
        </w:rPr>
        <w:t xml:space="preserve"> </w:t>
      </w:r>
      <w:proofErr w:type="spellStart"/>
      <w:r w:rsidRPr="000417BF">
        <w:rPr>
          <w:rFonts w:eastAsia="Cambria"/>
          <w:lang w:val="en-US"/>
        </w:rPr>
        <w:t>tinggi</w:t>
      </w:r>
      <w:proofErr w:type="spellEnd"/>
      <w:r w:rsidRPr="000417BF">
        <w:rPr>
          <w:rFonts w:eastAsia="Cambria"/>
          <w:lang w:val="en-US"/>
        </w:rPr>
        <w:t xml:space="preserve"> Islam negeri di </w:t>
      </w:r>
      <w:proofErr w:type="spellStart"/>
      <w:r w:rsidRPr="000417BF">
        <w:rPr>
          <w:rFonts w:eastAsia="Cambria"/>
          <w:lang w:val="en-US"/>
        </w:rPr>
        <w:t>Jawa</w:t>
      </w:r>
      <w:proofErr w:type="spellEnd"/>
      <w:r w:rsidRPr="000417BF">
        <w:rPr>
          <w:rFonts w:eastAsia="Cambria"/>
          <w:lang w:val="en-US"/>
        </w:rPr>
        <w:t xml:space="preserve"> Timur yang </w:t>
      </w:r>
      <w:proofErr w:type="spellStart"/>
      <w:r w:rsidRPr="000417BF">
        <w:rPr>
          <w:rFonts w:eastAsia="Cambria"/>
          <w:lang w:val="en-US"/>
        </w:rPr>
        <w:t>telah</w:t>
      </w:r>
      <w:proofErr w:type="spellEnd"/>
      <w:r w:rsidRPr="000417BF">
        <w:rPr>
          <w:rFonts w:eastAsia="Cambria"/>
          <w:lang w:val="en-US"/>
        </w:rPr>
        <w:t xml:space="preserve"> </w:t>
      </w:r>
      <w:proofErr w:type="spellStart"/>
      <w:r w:rsidRPr="000417BF">
        <w:rPr>
          <w:rFonts w:eastAsia="Cambria"/>
          <w:lang w:val="en-US"/>
        </w:rPr>
        <w:t>mengalami</w:t>
      </w:r>
      <w:proofErr w:type="spellEnd"/>
      <w:r w:rsidRPr="000417BF">
        <w:rPr>
          <w:rFonts w:eastAsia="Cambria"/>
          <w:lang w:val="en-US"/>
        </w:rPr>
        <w:t xml:space="preserve"> </w:t>
      </w:r>
      <w:proofErr w:type="spellStart"/>
      <w:r w:rsidRPr="000417BF">
        <w:rPr>
          <w:rFonts w:eastAsia="Cambria"/>
          <w:lang w:val="en-US"/>
        </w:rPr>
        <w:t>pembelajaran</w:t>
      </w:r>
      <w:proofErr w:type="spellEnd"/>
      <w:r w:rsidRPr="000417BF">
        <w:rPr>
          <w:rFonts w:eastAsia="Cambria"/>
          <w:lang w:val="en-US"/>
        </w:rPr>
        <w:t xml:space="preserve"> daring </w:t>
      </w:r>
      <w:proofErr w:type="spellStart"/>
      <w:r w:rsidRPr="000417BF">
        <w:rPr>
          <w:rFonts w:eastAsia="Cambria"/>
          <w:lang w:val="en-US"/>
        </w:rPr>
        <w:t>selama</w:t>
      </w:r>
      <w:proofErr w:type="spellEnd"/>
      <w:r w:rsidRPr="000417BF">
        <w:rPr>
          <w:rFonts w:eastAsia="Cambria"/>
          <w:lang w:val="en-US"/>
        </w:rPr>
        <w:t xml:space="preserve"> </w:t>
      </w:r>
      <w:proofErr w:type="spellStart"/>
      <w:r w:rsidRPr="000417BF">
        <w:rPr>
          <w:rFonts w:eastAsia="Cambria"/>
          <w:lang w:val="en-US"/>
        </w:rPr>
        <w:t>pandemi</w:t>
      </w:r>
      <w:proofErr w:type="spellEnd"/>
      <w:r w:rsidRPr="000417BF">
        <w:rPr>
          <w:rFonts w:eastAsia="Cambria"/>
          <w:lang w:val="en-US"/>
        </w:rPr>
        <w:t xml:space="preserve"> dan blended learning </w:t>
      </w:r>
      <w:proofErr w:type="spellStart"/>
      <w:r w:rsidRPr="000417BF">
        <w:rPr>
          <w:rFonts w:eastAsia="Cambria"/>
          <w:lang w:val="en-US"/>
        </w:rPr>
        <w:t>setelah</w:t>
      </w:r>
      <w:proofErr w:type="spellEnd"/>
      <w:r w:rsidRPr="000417BF">
        <w:rPr>
          <w:rFonts w:eastAsia="Cambria"/>
          <w:lang w:val="en-US"/>
        </w:rPr>
        <w:t xml:space="preserve"> </w:t>
      </w:r>
      <w:proofErr w:type="spellStart"/>
      <w:r w:rsidRPr="000417BF">
        <w:rPr>
          <w:rFonts w:eastAsia="Cambria"/>
          <w:lang w:val="en-US"/>
        </w:rPr>
        <w:t>pandemi</w:t>
      </w:r>
      <w:proofErr w:type="spellEnd"/>
      <w:r w:rsidRPr="000417BF">
        <w:rPr>
          <w:rFonts w:eastAsia="Cambria"/>
          <w:lang w:val="en-US"/>
        </w:rPr>
        <w:t>.</w:t>
      </w:r>
    </w:p>
    <w:p w14:paraId="604538B0" w14:textId="77777777" w:rsidR="000417BF" w:rsidRPr="000417BF" w:rsidRDefault="000417BF" w:rsidP="000417BF">
      <w:pPr>
        <w:pStyle w:val="08BodyArticle"/>
        <w:spacing w:line="360" w:lineRule="auto"/>
        <w:ind w:left="274" w:firstLine="446"/>
        <w:rPr>
          <w:rFonts w:eastAsia="Cambria"/>
          <w:lang w:val="en-US"/>
        </w:rPr>
      </w:pPr>
    </w:p>
    <w:p w14:paraId="0FEE90F0" w14:textId="5A9CAC99" w:rsidR="00BD21A3" w:rsidRPr="00C643C4" w:rsidRDefault="000417BF" w:rsidP="000417BF">
      <w:pPr>
        <w:pStyle w:val="08BodyArticle"/>
        <w:spacing w:line="360" w:lineRule="auto"/>
        <w:ind w:left="274" w:firstLine="446"/>
        <w:rPr>
          <w:rFonts w:eastAsia="Cambria"/>
          <w:lang w:val="en-US"/>
        </w:rPr>
      </w:pPr>
      <w:proofErr w:type="spellStart"/>
      <w:r w:rsidRPr="000417BF">
        <w:rPr>
          <w:rFonts w:eastAsia="Cambria"/>
          <w:lang w:val="en-US"/>
        </w:rPr>
        <w:t>Pengumpulan</w:t>
      </w:r>
      <w:proofErr w:type="spellEnd"/>
      <w:r w:rsidRPr="000417BF">
        <w:rPr>
          <w:rFonts w:eastAsia="Cambria"/>
          <w:lang w:val="en-US"/>
        </w:rPr>
        <w:t xml:space="preserve"> data </w:t>
      </w:r>
      <w:proofErr w:type="spellStart"/>
      <w:r w:rsidRPr="000417BF">
        <w:rPr>
          <w:rFonts w:eastAsia="Cambria"/>
          <w:lang w:val="en-US"/>
        </w:rPr>
        <w:t>dilakukan</w:t>
      </w:r>
      <w:proofErr w:type="spellEnd"/>
      <w:r w:rsidRPr="000417BF">
        <w:rPr>
          <w:rFonts w:eastAsia="Cambria"/>
          <w:lang w:val="en-US"/>
        </w:rPr>
        <w:t xml:space="preserve"> </w:t>
      </w:r>
      <w:proofErr w:type="spellStart"/>
      <w:r w:rsidRPr="000417BF">
        <w:rPr>
          <w:rFonts w:eastAsia="Cambria"/>
          <w:lang w:val="en-US"/>
        </w:rPr>
        <w:t>melalui</w:t>
      </w:r>
      <w:proofErr w:type="spellEnd"/>
      <w:r w:rsidRPr="000417BF">
        <w:rPr>
          <w:rFonts w:eastAsia="Cambria"/>
          <w:lang w:val="en-US"/>
        </w:rPr>
        <w:t xml:space="preserve"> </w:t>
      </w:r>
      <w:proofErr w:type="spellStart"/>
      <w:r w:rsidRPr="000417BF">
        <w:rPr>
          <w:rFonts w:eastAsia="Cambria"/>
          <w:lang w:val="en-US"/>
        </w:rPr>
        <w:t>kuesioner</w:t>
      </w:r>
      <w:proofErr w:type="spellEnd"/>
      <w:r w:rsidRPr="000417BF">
        <w:rPr>
          <w:rFonts w:eastAsia="Cambria"/>
          <w:lang w:val="en-US"/>
        </w:rPr>
        <w:t xml:space="preserve"> </w:t>
      </w:r>
      <w:proofErr w:type="spellStart"/>
      <w:r w:rsidRPr="000417BF">
        <w:rPr>
          <w:rFonts w:eastAsia="Cambria"/>
          <w:lang w:val="en-US"/>
        </w:rPr>
        <w:t>terbuka</w:t>
      </w:r>
      <w:proofErr w:type="spellEnd"/>
      <w:r w:rsidRPr="000417BF">
        <w:rPr>
          <w:rFonts w:eastAsia="Cambria"/>
          <w:lang w:val="en-US"/>
        </w:rPr>
        <w:t xml:space="preserve"> dan </w:t>
      </w:r>
      <w:proofErr w:type="spellStart"/>
      <w:r w:rsidRPr="000417BF">
        <w:rPr>
          <w:rFonts w:eastAsia="Cambria"/>
          <w:lang w:val="en-US"/>
        </w:rPr>
        <w:t>wawancara</w:t>
      </w:r>
      <w:proofErr w:type="spellEnd"/>
      <w:r w:rsidRPr="000417BF">
        <w:rPr>
          <w:rFonts w:eastAsia="Cambria"/>
          <w:lang w:val="en-US"/>
        </w:rPr>
        <w:t xml:space="preserve"> </w:t>
      </w:r>
      <w:proofErr w:type="spellStart"/>
      <w:r w:rsidRPr="000417BF">
        <w:rPr>
          <w:rFonts w:eastAsia="Cambria"/>
          <w:lang w:val="en-US"/>
        </w:rPr>
        <w:t>mendalam</w:t>
      </w:r>
      <w:proofErr w:type="spellEnd"/>
      <w:r w:rsidRPr="000417BF">
        <w:rPr>
          <w:rFonts w:eastAsia="Cambria"/>
          <w:lang w:val="en-US"/>
        </w:rPr>
        <w:t xml:space="preserve">. </w:t>
      </w:r>
      <w:proofErr w:type="spellStart"/>
      <w:r w:rsidRPr="000417BF">
        <w:rPr>
          <w:rFonts w:eastAsia="Cambria"/>
          <w:lang w:val="en-US"/>
        </w:rPr>
        <w:t>Instrumen</w:t>
      </w:r>
      <w:proofErr w:type="spellEnd"/>
      <w:r w:rsidRPr="000417BF">
        <w:rPr>
          <w:rFonts w:eastAsia="Cambria"/>
          <w:lang w:val="en-US"/>
        </w:rPr>
        <w:t xml:space="preserve"> </w:t>
      </w:r>
      <w:proofErr w:type="spellStart"/>
      <w:r w:rsidRPr="000417BF">
        <w:rPr>
          <w:rFonts w:eastAsia="Cambria"/>
          <w:lang w:val="en-US"/>
        </w:rPr>
        <w:t>meliputi</w:t>
      </w:r>
      <w:proofErr w:type="spellEnd"/>
      <w:r w:rsidRPr="000417BF">
        <w:rPr>
          <w:rFonts w:eastAsia="Cambria"/>
          <w:lang w:val="en-US"/>
        </w:rPr>
        <w:t xml:space="preserve"> </w:t>
      </w:r>
      <w:proofErr w:type="spellStart"/>
      <w:r w:rsidRPr="000417BF">
        <w:rPr>
          <w:rFonts w:eastAsia="Cambria"/>
          <w:lang w:val="en-US"/>
        </w:rPr>
        <w:t>pertanyaan</w:t>
      </w:r>
      <w:proofErr w:type="spellEnd"/>
      <w:r w:rsidRPr="000417BF">
        <w:rPr>
          <w:rFonts w:eastAsia="Cambria"/>
          <w:lang w:val="en-US"/>
        </w:rPr>
        <w:t xml:space="preserve"> </w:t>
      </w:r>
      <w:proofErr w:type="spellStart"/>
      <w:r w:rsidRPr="000417BF">
        <w:rPr>
          <w:rFonts w:eastAsia="Cambria"/>
          <w:lang w:val="en-US"/>
        </w:rPr>
        <w:t>mengenai</w:t>
      </w:r>
      <w:proofErr w:type="spellEnd"/>
      <w:r w:rsidRPr="000417BF">
        <w:rPr>
          <w:rFonts w:eastAsia="Cambria"/>
          <w:lang w:val="en-US"/>
        </w:rPr>
        <w:t xml:space="preserve"> </w:t>
      </w:r>
      <w:proofErr w:type="spellStart"/>
      <w:r w:rsidRPr="000417BF">
        <w:rPr>
          <w:rFonts w:eastAsia="Cambria"/>
          <w:lang w:val="en-US"/>
        </w:rPr>
        <w:t>persepsi</w:t>
      </w:r>
      <w:proofErr w:type="spellEnd"/>
      <w:r w:rsidRPr="000417BF">
        <w:rPr>
          <w:rFonts w:eastAsia="Cambria"/>
          <w:lang w:val="en-US"/>
        </w:rPr>
        <w:t xml:space="preserve"> </w:t>
      </w:r>
      <w:proofErr w:type="spellStart"/>
      <w:r w:rsidRPr="000417BF">
        <w:rPr>
          <w:rFonts w:eastAsia="Cambria"/>
          <w:lang w:val="en-US"/>
        </w:rPr>
        <w:t>efektivitas</w:t>
      </w:r>
      <w:proofErr w:type="spellEnd"/>
      <w:r w:rsidRPr="000417BF">
        <w:rPr>
          <w:rFonts w:eastAsia="Cambria"/>
          <w:lang w:val="en-US"/>
        </w:rPr>
        <w:t xml:space="preserve">, </w:t>
      </w:r>
      <w:proofErr w:type="spellStart"/>
      <w:r w:rsidRPr="000417BF">
        <w:rPr>
          <w:rFonts w:eastAsia="Cambria"/>
          <w:lang w:val="en-US"/>
        </w:rPr>
        <w:t>tantangan</w:t>
      </w:r>
      <w:proofErr w:type="spellEnd"/>
      <w:r w:rsidRPr="000417BF">
        <w:rPr>
          <w:rFonts w:eastAsia="Cambria"/>
          <w:lang w:val="en-US"/>
        </w:rPr>
        <w:t xml:space="preserve">, </w:t>
      </w:r>
      <w:proofErr w:type="spellStart"/>
      <w:r w:rsidRPr="000417BF">
        <w:rPr>
          <w:rFonts w:eastAsia="Cambria"/>
          <w:lang w:val="en-US"/>
        </w:rPr>
        <w:t>manfaat</w:t>
      </w:r>
      <w:proofErr w:type="spellEnd"/>
      <w:r w:rsidRPr="000417BF">
        <w:rPr>
          <w:rFonts w:eastAsia="Cambria"/>
          <w:lang w:val="en-US"/>
        </w:rPr>
        <w:t xml:space="preserve">, </w:t>
      </w:r>
      <w:proofErr w:type="spellStart"/>
      <w:r w:rsidRPr="000417BF">
        <w:rPr>
          <w:rFonts w:eastAsia="Cambria"/>
          <w:lang w:val="en-US"/>
        </w:rPr>
        <w:t>serta</w:t>
      </w:r>
      <w:proofErr w:type="spellEnd"/>
      <w:r w:rsidRPr="000417BF">
        <w:rPr>
          <w:rFonts w:eastAsia="Cambria"/>
          <w:lang w:val="en-US"/>
        </w:rPr>
        <w:t xml:space="preserve"> </w:t>
      </w:r>
      <w:proofErr w:type="spellStart"/>
      <w:r w:rsidRPr="000417BF">
        <w:rPr>
          <w:rFonts w:eastAsia="Cambria"/>
          <w:lang w:val="en-US"/>
        </w:rPr>
        <w:t>harapan</w:t>
      </w:r>
      <w:proofErr w:type="spellEnd"/>
      <w:r w:rsidRPr="000417BF">
        <w:rPr>
          <w:rFonts w:eastAsia="Cambria"/>
          <w:lang w:val="en-US"/>
        </w:rPr>
        <w:t xml:space="preserve"> </w:t>
      </w:r>
      <w:proofErr w:type="spellStart"/>
      <w:r w:rsidRPr="000417BF">
        <w:rPr>
          <w:rFonts w:eastAsia="Cambria"/>
          <w:lang w:val="en-US"/>
        </w:rPr>
        <w:t>terhadap</w:t>
      </w:r>
      <w:proofErr w:type="spellEnd"/>
      <w:r w:rsidRPr="000417BF">
        <w:rPr>
          <w:rFonts w:eastAsia="Cambria"/>
          <w:lang w:val="en-US"/>
        </w:rPr>
        <w:t xml:space="preserve"> </w:t>
      </w:r>
      <w:proofErr w:type="spellStart"/>
      <w:r w:rsidRPr="000417BF">
        <w:rPr>
          <w:rFonts w:eastAsia="Cambria"/>
          <w:lang w:val="en-US"/>
        </w:rPr>
        <w:t>pembelajaran</w:t>
      </w:r>
      <w:proofErr w:type="spellEnd"/>
      <w:r w:rsidRPr="000417BF">
        <w:rPr>
          <w:rFonts w:eastAsia="Cambria"/>
          <w:lang w:val="en-US"/>
        </w:rPr>
        <w:t xml:space="preserve"> daring. Data </w:t>
      </w:r>
      <w:proofErr w:type="spellStart"/>
      <w:r w:rsidRPr="000417BF">
        <w:rPr>
          <w:rFonts w:eastAsia="Cambria"/>
          <w:lang w:val="en-US"/>
        </w:rPr>
        <w:t>dianalisis</w:t>
      </w:r>
      <w:proofErr w:type="spellEnd"/>
      <w:r w:rsidRPr="000417BF">
        <w:rPr>
          <w:rFonts w:eastAsia="Cambria"/>
          <w:lang w:val="en-US"/>
        </w:rPr>
        <w:t xml:space="preserve"> </w:t>
      </w:r>
      <w:proofErr w:type="spellStart"/>
      <w:r w:rsidRPr="000417BF">
        <w:rPr>
          <w:rFonts w:eastAsia="Cambria"/>
          <w:lang w:val="en-US"/>
        </w:rPr>
        <w:t>dengan</w:t>
      </w:r>
      <w:proofErr w:type="spellEnd"/>
      <w:r w:rsidRPr="000417BF">
        <w:rPr>
          <w:rFonts w:eastAsia="Cambria"/>
          <w:lang w:val="en-US"/>
        </w:rPr>
        <w:t xml:space="preserve"> </w:t>
      </w:r>
      <w:proofErr w:type="spellStart"/>
      <w:r w:rsidRPr="000417BF">
        <w:rPr>
          <w:rFonts w:eastAsia="Cambria"/>
          <w:lang w:val="en-US"/>
        </w:rPr>
        <w:t>teknik</w:t>
      </w:r>
      <w:proofErr w:type="spellEnd"/>
      <w:r w:rsidRPr="000417BF">
        <w:rPr>
          <w:rFonts w:eastAsia="Cambria"/>
          <w:lang w:val="en-US"/>
        </w:rPr>
        <w:t xml:space="preserve"> </w:t>
      </w:r>
      <w:proofErr w:type="spellStart"/>
      <w:r w:rsidRPr="000417BF">
        <w:rPr>
          <w:rFonts w:eastAsia="Cambria"/>
          <w:lang w:val="en-US"/>
        </w:rPr>
        <w:t>tematik</w:t>
      </w:r>
      <w:proofErr w:type="spellEnd"/>
      <w:r w:rsidRPr="000417BF">
        <w:rPr>
          <w:rFonts w:eastAsia="Cambria"/>
          <w:lang w:val="en-US"/>
        </w:rPr>
        <w:t xml:space="preserve"> </w:t>
      </w:r>
      <w:proofErr w:type="spellStart"/>
      <w:r w:rsidRPr="000417BF">
        <w:rPr>
          <w:rFonts w:eastAsia="Cambria"/>
          <w:lang w:val="en-US"/>
        </w:rPr>
        <w:t>menggunakan</w:t>
      </w:r>
      <w:proofErr w:type="spellEnd"/>
      <w:r w:rsidRPr="000417BF">
        <w:rPr>
          <w:rFonts w:eastAsia="Cambria"/>
          <w:lang w:val="en-US"/>
        </w:rPr>
        <w:t xml:space="preserve"> model Miles dan Huberman.</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319A202A" w14:textId="6D1990C5"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 xml:space="preserve">Sebagian </w:t>
      </w:r>
      <w:proofErr w:type="spellStart"/>
      <w:r w:rsidRPr="000417BF">
        <w:rPr>
          <w:rFonts w:eastAsia="Calibri"/>
          <w:spacing w:val="0"/>
          <w:sz w:val="22"/>
          <w:szCs w:val="24"/>
          <w:lang w:val="en-US"/>
        </w:rPr>
        <w:t>besar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menyatakan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bahwa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w:t>
      </w:r>
      <w:proofErr w:type="spellStart"/>
      <w:r w:rsidRPr="000417BF">
        <w:rPr>
          <w:rFonts w:eastAsia="Calibri"/>
          <w:spacing w:val="0"/>
          <w:sz w:val="22"/>
          <w:szCs w:val="24"/>
          <w:lang w:val="en-US"/>
        </w:rPr>
        <w:t>memberikan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fleksibilitas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waktu</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tempat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mengikuti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perkuliahan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dari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rumah</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menghemat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biaya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transportasi</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memiliki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akses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sumber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digital yang </w:t>
      </w:r>
      <w:proofErr w:type="spellStart"/>
      <w:r w:rsidRPr="000417BF">
        <w:rPr>
          <w:rFonts w:eastAsia="Calibri"/>
          <w:spacing w:val="0"/>
          <w:sz w:val="22"/>
          <w:szCs w:val="24"/>
          <w:lang w:val="en-US"/>
        </w:rPr>
        <w:t>lebih</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luas</w:t>
      </w:r>
      <w:proofErr w:type="spellEnd"/>
      <w:r w:rsidRPr="000417BF">
        <w:rPr>
          <w:rFonts w:eastAsia="Calibri"/>
          <w:spacing w:val="0"/>
          <w:sz w:val="22"/>
          <w:szCs w:val="24"/>
          <w:lang w:val="en-US"/>
        </w:rPr>
        <w:t>.</w:t>
      </w:r>
    </w:p>
    <w:p w14:paraId="00D0B3DE"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6190FF7F" w14:textId="53408420"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Namun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juga </w:t>
      </w:r>
      <w:proofErr w:type="spellStart"/>
      <w:r w:rsidRPr="000417BF">
        <w:rPr>
          <w:rFonts w:eastAsia="Calibri"/>
          <w:spacing w:val="0"/>
          <w:sz w:val="22"/>
          <w:szCs w:val="24"/>
          <w:lang w:val="en-US"/>
        </w:rPr>
        <w:t>mengakui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adanya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penurunan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motivasi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interaksi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sosial</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selama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w:t>
      </w:r>
      <w:proofErr w:type="spellStart"/>
      <w:r w:rsidRPr="000417BF">
        <w:rPr>
          <w:rFonts w:eastAsia="Calibri"/>
          <w:spacing w:val="0"/>
          <w:sz w:val="22"/>
          <w:szCs w:val="24"/>
          <w:lang w:val="en-US"/>
        </w:rPr>
        <w:t>Ketidakhadiran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fisik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dosen</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teman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membuat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suasana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terasa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pasif</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membosankan</w:t>
      </w:r>
      <w:proofErr w:type="spellEnd"/>
      <w:r w:rsidRPr="000417BF">
        <w:rPr>
          <w:rFonts w:eastAsia="Calibri"/>
          <w:spacing w:val="0"/>
          <w:sz w:val="22"/>
          <w:szCs w:val="24"/>
          <w:lang w:val="en-US"/>
        </w:rPr>
        <w:t>.</w:t>
      </w:r>
    </w:p>
    <w:p w14:paraId="12A69FA8"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D4799EB" w14:textId="42766654"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Kendala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teknis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seperti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jaringan</w:t>
      </w:r>
      <w:proofErr w:type="spellEnd"/>
      <w:r w:rsidRPr="000417BF">
        <w:rPr>
          <w:rFonts w:eastAsia="Calibri"/>
          <w:spacing w:val="0"/>
          <w:sz w:val="22"/>
          <w:szCs w:val="24"/>
          <w:lang w:val="en-US"/>
        </w:rPr>
        <w:t xml:space="preserve"> internet </w:t>
      </w:r>
      <w:proofErr w:type="spellStart"/>
      <w:r w:rsidRPr="000417BF">
        <w:rPr>
          <w:rFonts w:eastAsia="Calibri"/>
          <w:spacing w:val="0"/>
          <w:sz w:val="22"/>
          <w:szCs w:val="24"/>
          <w:lang w:val="en-US"/>
        </w:rPr>
        <w:t>tidak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stabil</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keterbatasan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kuota</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ketidaksiapan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dosen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dalam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mengelola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kelas</w:t>
      </w:r>
      <w:proofErr w:type="spellEnd"/>
      <w:r w:rsidRPr="000417BF">
        <w:rPr>
          <w:rFonts w:eastAsia="Calibri"/>
          <w:spacing w:val="0"/>
          <w:sz w:val="22"/>
          <w:szCs w:val="24"/>
          <w:lang w:val="en-US"/>
        </w:rPr>
        <w:t xml:space="preserve"> online </w:t>
      </w:r>
      <w:proofErr w:type="spellStart"/>
      <w:r w:rsidRPr="000417BF">
        <w:rPr>
          <w:rFonts w:eastAsia="Calibri"/>
          <w:spacing w:val="0"/>
          <w:sz w:val="22"/>
          <w:szCs w:val="24"/>
          <w:lang w:val="en-US"/>
        </w:rPr>
        <w:t>menjadi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faktor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penghambat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utama</w:t>
      </w:r>
      <w:proofErr w:type="spellEnd"/>
      <w:r w:rsidRPr="000417BF">
        <w:rPr>
          <w:rFonts w:eastAsia="Calibri"/>
          <w:spacing w:val="0"/>
          <w:sz w:val="22"/>
          <w:szCs w:val="24"/>
          <w:lang w:val="en-US"/>
        </w:rPr>
        <w:t xml:space="preserve">. Sebagian </w:t>
      </w:r>
      <w:proofErr w:type="spellStart"/>
      <w:r w:rsidRPr="000417BF">
        <w:rPr>
          <w:rFonts w:eastAsia="Calibri"/>
          <w:spacing w:val="0"/>
          <w:sz w:val="22"/>
          <w:szCs w:val="24"/>
          <w:lang w:val="en-US"/>
        </w:rPr>
        <w:t>besar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harus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mencari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lokasi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dengan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jaringan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hanya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untuk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mengikuti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kuliah</w:t>
      </w:r>
      <w:proofErr w:type="spellEnd"/>
      <w:r w:rsidRPr="000417BF">
        <w:rPr>
          <w:rFonts w:eastAsia="Calibri"/>
          <w:spacing w:val="0"/>
          <w:sz w:val="22"/>
          <w:szCs w:val="24"/>
          <w:lang w:val="en-US"/>
        </w:rPr>
        <w:t xml:space="preserve"> Zoom.</w:t>
      </w:r>
    </w:p>
    <w:p w14:paraId="5EE89473"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B93F5F1" w14:textId="63A16A43"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lastRenderedPageBreak/>
        <w:t>Meski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begitu</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mulai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terbiasa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menggunakan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aplikasi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seperti</w:t>
      </w:r>
      <w:proofErr w:type="spellEnd"/>
      <w:r w:rsidRPr="000417BF">
        <w:rPr>
          <w:rFonts w:eastAsia="Calibri"/>
          <w:spacing w:val="0"/>
          <w:sz w:val="22"/>
          <w:szCs w:val="24"/>
          <w:lang w:val="en-US"/>
        </w:rPr>
        <w:t xml:space="preserve"> Google Classroom, Edmodo, Canva, dan Kahoot </w:t>
      </w:r>
      <w:proofErr w:type="spellStart"/>
      <w:r w:rsidRPr="000417BF">
        <w:rPr>
          <w:rFonts w:eastAsia="Calibri"/>
          <w:spacing w:val="0"/>
          <w:sz w:val="22"/>
          <w:szCs w:val="24"/>
          <w:lang w:val="en-US"/>
        </w:rPr>
        <w:t>dalam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membuat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materi</w:t>
      </w:r>
      <w:proofErr w:type="spellEnd"/>
      <w:r w:rsidRPr="000417BF">
        <w:rPr>
          <w:rFonts w:eastAsia="Calibri"/>
          <w:spacing w:val="0"/>
          <w:sz w:val="22"/>
          <w:szCs w:val="24"/>
          <w:lang w:val="en-US"/>
        </w:rPr>
        <w:t xml:space="preserve"> ajar. Hal </w:t>
      </w:r>
      <w:proofErr w:type="spellStart"/>
      <w:r w:rsidRPr="000417BF">
        <w:rPr>
          <w:rFonts w:eastAsia="Calibri"/>
          <w:spacing w:val="0"/>
          <w:sz w:val="22"/>
          <w:szCs w:val="24"/>
          <w:lang w:val="en-US"/>
        </w:rPr>
        <w:t>ini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memperkuat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kesiapan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sebagai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calon</w:t>
      </w:r>
      <w:proofErr w:type="spellEnd"/>
      <w:r w:rsidRPr="000417BF">
        <w:rPr>
          <w:rFonts w:eastAsia="Calibri"/>
          <w:spacing w:val="0"/>
          <w:sz w:val="22"/>
          <w:szCs w:val="24"/>
          <w:lang w:val="en-US"/>
        </w:rPr>
        <w:t xml:space="preserve"> guru yang </w:t>
      </w:r>
      <w:proofErr w:type="spellStart"/>
      <w:r w:rsidRPr="000417BF">
        <w:rPr>
          <w:rFonts w:eastAsia="Calibri"/>
          <w:spacing w:val="0"/>
          <w:sz w:val="22"/>
          <w:szCs w:val="24"/>
          <w:lang w:val="en-US"/>
        </w:rPr>
        <w:t>mampu</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menyusun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di madrasah.</w:t>
      </w:r>
    </w:p>
    <w:p w14:paraId="164EE330"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0748B62B" w14:textId="05FC5856" w:rsidR="003316F4" w:rsidRPr="003316F4"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berharap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depan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menggabungkan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metode</w:t>
      </w:r>
      <w:proofErr w:type="spellEnd"/>
      <w:r w:rsidRPr="000417BF">
        <w:rPr>
          <w:rFonts w:eastAsia="Calibri"/>
          <w:spacing w:val="0"/>
          <w:sz w:val="22"/>
          <w:szCs w:val="24"/>
          <w:lang w:val="en-US"/>
        </w:rPr>
        <w:t xml:space="preserve"> daring dan luring (blended learning), di mana </w:t>
      </w:r>
      <w:proofErr w:type="spellStart"/>
      <w:r w:rsidRPr="000417BF">
        <w:rPr>
          <w:rFonts w:eastAsia="Calibri"/>
          <w:spacing w:val="0"/>
          <w:sz w:val="22"/>
          <w:szCs w:val="24"/>
          <w:lang w:val="en-US"/>
        </w:rPr>
        <w:t>aspek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teori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disampaikan</w:t>
      </w:r>
      <w:proofErr w:type="spellEnd"/>
      <w:r w:rsidRPr="000417BF">
        <w:rPr>
          <w:rFonts w:eastAsia="Calibri"/>
          <w:spacing w:val="0"/>
          <w:sz w:val="22"/>
          <w:szCs w:val="24"/>
          <w:lang w:val="en-US"/>
        </w:rPr>
        <w:t xml:space="preserve"> online, </w:t>
      </w:r>
      <w:proofErr w:type="spellStart"/>
      <w:r w:rsidRPr="000417BF">
        <w:rPr>
          <w:rFonts w:eastAsia="Calibri"/>
          <w:spacing w:val="0"/>
          <w:sz w:val="22"/>
          <w:szCs w:val="24"/>
          <w:lang w:val="en-US"/>
        </w:rPr>
        <w:t>sedangkan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praktik</w:t>
      </w:r>
      <w:proofErr w:type="spellEnd"/>
      <w:r w:rsidRPr="000417BF">
        <w:rPr>
          <w:rFonts w:eastAsia="Calibri"/>
          <w:spacing w:val="0"/>
          <w:sz w:val="22"/>
          <w:szCs w:val="24"/>
          <w:lang w:val="en-US"/>
        </w:rPr>
        <w:t xml:space="preserve">, microteaching, dan </w:t>
      </w:r>
      <w:proofErr w:type="spellStart"/>
      <w:r w:rsidRPr="000417BF">
        <w:rPr>
          <w:rFonts w:eastAsia="Calibri"/>
          <w:spacing w:val="0"/>
          <w:sz w:val="22"/>
          <w:szCs w:val="24"/>
          <w:lang w:val="en-US"/>
        </w:rPr>
        <w:t>kegiatan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laboratorium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tetap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dilakukan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secara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tatap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muka</w:t>
      </w:r>
      <w:proofErr w:type="spellEnd"/>
      <w:r w:rsidRPr="000417BF">
        <w:rPr>
          <w:rFonts w:eastAsia="Calibri"/>
          <w:spacing w:val="0"/>
          <w:sz w:val="22"/>
          <w:szCs w:val="24"/>
          <w:lang w:val="en-US"/>
        </w:rPr>
        <w:t>.</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599C58C8" w14:textId="641E2A89" w:rsidR="000768F6" w:rsidRPr="000768F6" w:rsidRDefault="000768F6" w:rsidP="000768F6">
      <w:pPr>
        <w:pStyle w:val="08BodyArticle"/>
        <w:spacing w:line="360" w:lineRule="auto"/>
        <w:ind w:left="270" w:firstLine="297"/>
        <w:rPr>
          <w:rFonts w:eastAsia="Cambria"/>
        </w:rPr>
      </w:pPr>
      <w:r w:rsidRPr="000768F6">
        <w:rPr>
          <w:rFonts w:eastAsia="Cambria"/>
        </w:rPr>
        <w:t>Hasil penelitian menunjukkan bahwa persepsi calon guru MI terhadap pembelajaran daring cukup positif, terutama dalam hal efisiensi dan fleksibilitas. Mereka menganggap bahwa teknologi dapat membantu proses pembelajaran menjadi lebih efektif bila dikelola dengan baik.</w:t>
      </w:r>
    </w:p>
    <w:p w14:paraId="5E06D309" w14:textId="77777777" w:rsidR="000768F6" w:rsidRPr="000768F6" w:rsidRDefault="000768F6" w:rsidP="000768F6">
      <w:pPr>
        <w:pStyle w:val="08BodyArticle"/>
        <w:spacing w:line="360" w:lineRule="auto"/>
        <w:ind w:left="270" w:firstLine="297"/>
        <w:rPr>
          <w:rFonts w:eastAsia="Cambria"/>
        </w:rPr>
      </w:pPr>
    </w:p>
    <w:p w14:paraId="46DAED11" w14:textId="6BCE4AF3" w:rsidR="000768F6" w:rsidRPr="000768F6" w:rsidRDefault="000768F6" w:rsidP="000768F6">
      <w:pPr>
        <w:pStyle w:val="08BodyArticle"/>
        <w:spacing w:line="360" w:lineRule="auto"/>
        <w:ind w:left="270" w:firstLine="297"/>
        <w:rPr>
          <w:rFonts w:eastAsia="Cambria"/>
        </w:rPr>
      </w:pPr>
      <w:r w:rsidRPr="000768F6">
        <w:rPr>
          <w:rFonts w:eastAsia="Cambria"/>
        </w:rPr>
        <w:t>: Namun, aspek afektif dan sosial belum sepenuhnya terfasilitasi dalam pembelajaran daring. Kurangnya interaksi dan rasa kebersamaan menjadi kelemahan yang harus diantisipasi, terutama dalam pendidikan dasar Islam yang menekankan nilai-nilai sosial dan spiritual.</w:t>
      </w:r>
    </w:p>
    <w:p w14:paraId="57C57520" w14:textId="77777777" w:rsidR="000768F6" w:rsidRPr="000768F6" w:rsidRDefault="000768F6" w:rsidP="000768F6">
      <w:pPr>
        <w:pStyle w:val="08BodyArticle"/>
        <w:spacing w:line="360" w:lineRule="auto"/>
        <w:ind w:left="270" w:firstLine="297"/>
        <w:rPr>
          <w:rFonts w:eastAsia="Cambria"/>
        </w:rPr>
      </w:pPr>
    </w:p>
    <w:p w14:paraId="4D2B1F32" w14:textId="58E888A0" w:rsidR="000768F6" w:rsidRPr="000768F6" w:rsidRDefault="000768F6" w:rsidP="000768F6">
      <w:pPr>
        <w:pStyle w:val="08BodyArticle"/>
        <w:spacing w:line="360" w:lineRule="auto"/>
        <w:ind w:left="270" w:firstLine="297"/>
        <w:rPr>
          <w:rFonts w:eastAsia="Cambria"/>
        </w:rPr>
      </w:pPr>
      <w:r w:rsidRPr="000768F6">
        <w:rPr>
          <w:rFonts w:eastAsia="Cambria"/>
        </w:rPr>
        <w:t>Mahasiswa menunjukkan kemampuan adaptasi yang cukup baik terhadap penggunaan teknologi pembelajaran. Hal ini menjadi modal penting dalam menyongsong dunia kerja sebagai guru MI yang dituntut mampu menggunakan media digital secara kreatif.</w:t>
      </w:r>
    </w:p>
    <w:p w14:paraId="0A58A173" w14:textId="77777777" w:rsidR="000768F6" w:rsidRPr="000768F6" w:rsidRDefault="000768F6" w:rsidP="000768F6">
      <w:pPr>
        <w:pStyle w:val="08BodyArticle"/>
        <w:spacing w:line="360" w:lineRule="auto"/>
        <w:ind w:left="270" w:firstLine="297"/>
        <w:rPr>
          <w:rFonts w:eastAsia="Cambria"/>
        </w:rPr>
      </w:pPr>
    </w:p>
    <w:p w14:paraId="05367BEB" w14:textId="7140AAE2" w:rsidR="000768F6" w:rsidRPr="000768F6" w:rsidRDefault="000768F6" w:rsidP="000768F6">
      <w:pPr>
        <w:pStyle w:val="08BodyArticle"/>
        <w:spacing w:line="360" w:lineRule="auto"/>
        <w:ind w:left="270" w:firstLine="297"/>
        <w:rPr>
          <w:rFonts w:eastAsia="Cambria"/>
        </w:rPr>
      </w:pPr>
      <w:r w:rsidRPr="000768F6">
        <w:rPr>
          <w:rFonts w:eastAsia="Cambria"/>
        </w:rPr>
        <w:t>Kurikulum pendidikan guru MI perlu memperkuat kompetensi pedagogi digital dan desain pembelajaran daring. Pelatihan microteaching online dan simulasi kelas virtual dapat menjadi bagian dari kurikulum PGMI masa depan.</w:t>
      </w:r>
    </w:p>
    <w:p w14:paraId="163C9042" w14:textId="77777777" w:rsidR="000768F6" w:rsidRPr="000768F6" w:rsidRDefault="000768F6" w:rsidP="000768F6">
      <w:pPr>
        <w:pStyle w:val="08BodyArticle"/>
        <w:spacing w:line="360" w:lineRule="auto"/>
        <w:ind w:left="270" w:firstLine="297"/>
        <w:rPr>
          <w:rFonts w:eastAsia="Cambria"/>
        </w:rPr>
      </w:pPr>
    </w:p>
    <w:p w14:paraId="2984833E" w14:textId="6BB09B3F" w:rsidR="000B521B" w:rsidRPr="00030CC0" w:rsidRDefault="000768F6" w:rsidP="000768F6">
      <w:pPr>
        <w:pStyle w:val="08BodyArticle"/>
        <w:spacing w:line="360" w:lineRule="auto"/>
        <w:ind w:left="270" w:firstLine="297"/>
        <w:rPr>
          <w:rFonts w:eastAsia="Cambria"/>
        </w:rPr>
      </w:pPr>
      <w:r w:rsidRPr="000768F6">
        <w:rPr>
          <w:rFonts w:eastAsia="Cambria"/>
        </w:rPr>
        <w:t>Dengan pendekatan blended learning yang tepat, calon guru MI dapat menggabungkan keunggulan daring dan luring untuk menciptakan pembelajaran yang humanis, inovatif, dan sesuai dengan kebutuhan zaman pasca-pandemi.</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2D588AE3" w:rsidR="002E0A73" w:rsidRPr="00C643C4" w:rsidRDefault="000768F6" w:rsidP="00C643C4">
      <w:pPr>
        <w:pStyle w:val="08BodyArticle"/>
        <w:spacing w:line="360" w:lineRule="auto"/>
        <w:ind w:left="274" w:firstLine="360"/>
        <w:rPr>
          <w:rFonts w:eastAsia="Cambria"/>
          <w:lang w:val="en-US"/>
        </w:rPr>
      </w:pPr>
      <w:bookmarkStart w:id="0" w:name="_Hlk179885273"/>
      <w:r w:rsidRPr="000768F6">
        <w:rPr>
          <w:rFonts w:eastAsia="Cambria"/>
        </w:rPr>
        <w:t xml:space="preserve">Calon guru Madrasah Ibtidaiyah memiliki persepsi yang beragam terhadap pembelajaran daring pasca-pandemi. Mereka menghargai fleksibilitas dan akses informasi digital, namun juga menyadari </w:t>
      </w:r>
      <w:r w:rsidRPr="000768F6">
        <w:rPr>
          <w:rFonts w:eastAsia="Cambria"/>
        </w:rPr>
        <w:lastRenderedPageBreak/>
        <w:t>pentingnya interaksi dan praktik langsung dalam proses pembelajaran. Dengan keterampilan teknologi yang terus diasah, mereka siap menghadapi tantangan pendidikan berbasis digital. Oleh karena itu, lembaga pendidikan guru perlu merancang kurikulum yang adaptif, mengintegrasikan pendekatan blended learning, dan memperkuat literasi digital sebagai kompetensi dasar guru masa kini.</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3F14FB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Anderson, T. (2011). The Theory and Practice of Online Learning. Edmonton: AU Press.</w:t>
      </w:r>
    </w:p>
    <w:p w14:paraId="230972ED"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3C8AA09A"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 xml:space="preserve">Hodges, C., Moore, S., </w:t>
      </w:r>
      <w:proofErr w:type="spellStart"/>
      <w:r w:rsidRPr="000768F6">
        <w:rPr>
          <w:rFonts w:ascii="Cambria" w:hAnsi="Cambria" w:cs="Times New Roman"/>
          <w:sz w:val="20"/>
          <w:szCs w:val="20"/>
          <w:lang w:val="en-ID"/>
        </w:rPr>
        <w:t>Lockee</w:t>
      </w:r>
      <w:proofErr w:type="spellEnd"/>
      <w:r w:rsidRPr="000768F6">
        <w:rPr>
          <w:rFonts w:ascii="Cambria" w:hAnsi="Cambria" w:cs="Times New Roman"/>
          <w:sz w:val="20"/>
          <w:szCs w:val="20"/>
          <w:lang w:val="en-ID"/>
        </w:rPr>
        <w:t>, B., Trust, T., &amp; Bond, A. (2020). “The Difference Between Emergency Remote Teaching and Online Learning.” Educause Review.</w:t>
      </w:r>
    </w:p>
    <w:p w14:paraId="2D3FF7C2"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0A108F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Mishra, P., &amp; Koehler, M. J. (2006). “Technological Pedagogical Content Knowledge: A Framework for Teacher Knowledge.” Teachers College Record, 108(6), 1017–1054.</w:t>
      </w:r>
    </w:p>
    <w:p w14:paraId="386628D6"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42396CEA" w14:textId="77777777" w:rsidR="000768F6" w:rsidRPr="000768F6" w:rsidRDefault="000768F6" w:rsidP="000768F6">
      <w:pPr>
        <w:spacing w:after="0" w:line="240" w:lineRule="auto"/>
        <w:ind w:left="630" w:hanging="630"/>
        <w:rPr>
          <w:rFonts w:ascii="Cambria" w:hAnsi="Cambria" w:cs="Times New Roman"/>
          <w:sz w:val="20"/>
          <w:szCs w:val="20"/>
          <w:lang w:val="en-ID"/>
        </w:rPr>
      </w:pPr>
      <w:proofErr w:type="spellStart"/>
      <w:r w:rsidRPr="000768F6">
        <w:rPr>
          <w:rFonts w:ascii="Cambria" w:hAnsi="Cambria" w:cs="Times New Roman"/>
          <w:sz w:val="20"/>
          <w:szCs w:val="20"/>
          <w:lang w:val="en-ID"/>
        </w:rPr>
        <w:t>Rohman</w:t>
      </w:r>
      <w:proofErr w:type="spellEnd"/>
      <w:r w:rsidRPr="000768F6">
        <w:rPr>
          <w:rFonts w:ascii="Cambria" w:hAnsi="Cambria" w:cs="Times New Roman"/>
          <w:sz w:val="20"/>
          <w:szCs w:val="20"/>
          <w:lang w:val="en-ID"/>
        </w:rPr>
        <w:t xml:space="preserve">, A., </w:t>
      </w:r>
      <w:proofErr w:type="spellStart"/>
      <w:r w:rsidRPr="000768F6">
        <w:rPr>
          <w:rFonts w:ascii="Cambria" w:hAnsi="Cambria" w:cs="Times New Roman"/>
          <w:sz w:val="20"/>
          <w:szCs w:val="20"/>
          <w:lang w:val="en-ID"/>
        </w:rPr>
        <w:t>Sutrisno</w:t>
      </w:r>
      <w:proofErr w:type="spellEnd"/>
      <w:r w:rsidRPr="000768F6">
        <w:rPr>
          <w:rFonts w:ascii="Cambria" w:hAnsi="Cambria" w:cs="Times New Roman"/>
          <w:sz w:val="20"/>
          <w:szCs w:val="20"/>
          <w:lang w:val="en-ID"/>
        </w:rPr>
        <w:t xml:space="preserve">, S., &amp; </w:t>
      </w:r>
      <w:proofErr w:type="spellStart"/>
      <w:r w:rsidRPr="000768F6">
        <w:rPr>
          <w:rFonts w:ascii="Cambria" w:hAnsi="Cambria" w:cs="Times New Roman"/>
          <w:sz w:val="20"/>
          <w:szCs w:val="20"/>
          <w:lang w:val="en-ID"/>
        </w:rPr>
        <w:t>Azizah</w:t>
      </w:r>
      <w:proofErr w:type="spellEnd"/>
      <w:r w:rsidRPr="000768F6">
        <w:rPr>
          <w:rFonts w:ascii="Cambria" w:hAnsi="Cambria" w:cs="Times New Roman"/>
          <w:sz w:val="20"/>
          <w:szCs w:val="20"/>
          <w:lang w:val="en-ID"/>
        </w:rPr>
        <w:t>, L. (2021). “</w:t>
      </w:r>
      <w:proofErr w:type="spellStart"/>
      <w:r w:rsidRPr="000768F6">
        <w:rPr>
          <w:rFonts w:ascii="Cambria" w:hAnsi="Cambria" w:cs="Times New Roman"/>
          <w:sz w:val="20"/>
          <w:szCs w:val="20"/>
          <w:lang w:val="en-ID"/>
        </w:rPr>
        <w:t>Persepsi</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Mahasiswa</w:t>
      </w:r>
      <w:proofErr w:type="spellEnd"/>
      <w:r w:rsidRPr="000768F6">
        <w:rPr>
          <w:rFonts w:ascii="Cambria" w:hAnsi="Cambria" w:cs="Times New Roman"/>
          <w:sz w:val="20"/>
          <w:szCs w:val="20"/>
          <w:lang w:val="en-ID"/>
        </w:rPr>
        <w:t xml:space="preserve"> PGMI </w:t>
      </w:r>
      <w:proofErr w:type="spellStart"/>
      <w:r w:rsidRPr="000768F6">
        <w:rPr>
          <w:rFonts w:ascii="Cambria" w:hAnsi="Cambria" w:cs="Times New Roman"/>
          <w:sz w:val="20"/>
          <w:szCs w:val="20"/>
          <w:lang w:val="en-ID"/>
        </w:rPr>
        <w:t>terhadap</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Online </w:t>
      </w:r>
      <w:proofErr w:type="spellStart"/>
      <w:r w:rsidRPr="000768F6">
        <w:rPr>
          <w:rFonts w:ascii="Cambria" w:hAnsi="Cambria" w:cs="Times New Roman"/>
          <w:sz w:val="20"/>
          <w:szCs w:val="20"/>
          <w:lang w:val="en-ID"/>
        </w:rPr>
        <w:t>Selama</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Pandemi</w:t>
      </w:r>
      <w:proofErr w:type="spellEnd"/>
      <w:r w:rsidRPr="000768F6">
        <w:rPr>
          <w:rFonts w:ascii="Cambria" w:hAnsi="Cambria" w:cs="Times New Roman"/>
          <w:sz w:val="20"/>
          <w:szCs w:val="20"/>
          <w:lang w:val="en-ID"/>
        </w:rPr>
        <w:t xml:space="preserve"> COVID-19.” </w:t>
      </w:r>
      <w:proofErr w:type="spellStart"/>
      <w:r w:rsidRPr="000768F6">
        <w:rPr>
          <w:rFonts w:ascii="Cambria" w:hAnsi="Cambria" w:cs="Times New Roman"/>
          <w:sz w:val="20"/>
          <w:szCs w:val="20"/>
          <w:lang w:val="en-ID"/>
        </w:rPr>
        <w:t>Jurnal</w:t>
      </w:r>
      <w:proofErr w:type="spellEnd"/>
      <w:r w:rsidRPr="000768F6">
        <w:rPr>
          <w:rFonts w:ascii="Cambria" w:hAnsi="Cambria" w:cs="Times New Roman"/>
          <w:sz w:val="20"/>
          <w:szCs w:val="20"/>
          <w:lang w:val="en-ID"/>
        </w:rPr>
        <w:t xml:space="preserve"> Pendidikan Dasar Islam, 9(1), 45–60.</w:t>
      </w:r>
    </w:p>
    <w:p w14:paraId="30141850"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77FDFA23" w14:textId="0DF57D99" w:rsidR="00DB662E" w:rsidRPr="00DB662E" w:rsidRDefault="000768F6" w:rsidP="000768F6">
      <w:pPr>
        <w:spacing w:after="0" w:line="240" w:lineRule="auto"/>
        <w:ind w:left="630" w:hanging="630"/>
        <w:jc w:val="both"/>
        <w:rPr>
          <w:rFonts w:ascii="Cambria" w:hAnsi="Cambria" w:cs="Times New Roman"/>
          <w:sz w:val="20"/>
          <w:szCs w:val="20"/>
          <w:lang w:val="en-ID"/>
        </w:rPr>
      </w:pPr>
      <w:proofErr w:type="spellStart"/>
      <w:r w:rsidRPr="000768F6">
        <w:rPr>
          <w:rFonts w:ascii="Cambria" w:hAnsi="Cambria" w:cs="Times New Roman"/>
          <w:sz w:val="20"/>
          <w:szCs w:val="20"/>
          <w:lang w:val="en-ID"/>
        </w:rPr>
        <w:t>Kemendikbudristek</w:t>
      </w:r>
      <w:proofErr w:type="spellEnd"/>
      <w:r w:rsidRPr="000768F6">
        <w:rPr>
          <w:rFonts w:ascii="Cambria" w:hAnsi="Cambria" w:cs="Times New Roman"/>
          <w:sz w:val="20"/>
          <w:szCs w:val="20"/>
          <w:lang w:val="en-ID"/>
        </w:rPr>
        <w:t xml:space="preserve">. (2022). Panduan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Tatap</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Muka</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Terbatas</w:t>
      </w:r>
      <w:proofErr w:type="spellEnd"/>
      <w:r w:rsidRPr="000768F6">
        <w:rPr>
          <w:rFonts w:ascii="Cambria" w:hAnsi="Cambria" w:cs="Times New Roman"/>
          <w:sz w:val="20"/>
          <w:szCs w:val="20"/>
          <w:lang w:val="en-ID"/>
        </w:rPr>
        <w:t xml:space="preserve"> dan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Jarak </w:t>
      </w:r>
      <w:proofErr w:type="spellStart"/>
      <w:r w:rsidRPr="000768F6">
        <w:rPr>
          <w:rFonts w:ascii="Cambria" w:hAnsi="Cambria" w:cs="Times New Roman"/>
          <w:sz w:val="20"/>
          <w:szCs w:val="20"/>
          <w:lang w:val="en-ID"/>
        </w:rPr>
        <w:t>Jauh</w:t>
      </w:r>
      <w:proofErr w:type="spellEnd"/>
      <w:r w:rsidRPr="000768F6">
        <w:rPr>
          <w:rFonts w:ascii="Cambria" w:hAnsi="Cambria" w:cs="Times New Roman"/>
          <w:sz w:val="20"/>
          <w:szCs w:val="20"/>
          <w:lang w:val="en-ID"/>
        </w:rPr>
        <w:t xml:space="preserve">. Jakarta: </w:t>
      </w:r>
      <w:proofErr w:type="spellStart"/>
      <w:r w:rsidRPr="000768F6">
        <w:rPr>
          <w:rFonts w:ascii="Cambria" w:hAnsi="Cambria" w:cs="Times New Roman"/>
          <w:sz w:val="20"/>
          <w:szCs w:val="20"/>
          <w:lang w:val="en-ID"/>
        </w:rPr>
        <w:t>Dirjen</w:t>
      </w:r>
      <w:proofErr w:type="spellEnd"/>
      <w:r w:rsidRPr="000768F6">
        <w:rPr>
          <w:rFonts w:ascii="Cambria" w:hAnsi="Cambria" w:cs="Times New Roman"/>
          <w:sz w:val="20"/>
          <w:szCs w:val="20"/>
          <w:lang w:val="en-ID"/>
        </w:rPr>
        <w:t xml:space="preserve"> Pendidikan Islam.</w:t>
      </w:r>
      <w:r w:rsidR="00722392" w:rsidRPr="00722392">
        <w:rPr>
          <w:rFonts w:ascii="Cambria" w:hAnsi="Cambria" w:cs="Times New Roman"/>
          <w:sz w:val="20"/>
          <w:szCs w:val="20"/>
          <w:lang w:val="en-ID"/>
        </w:rPr>
        <w:t>.</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50F72" w14:textId="77777777" w:rsidR="005E4F32" w:rsidRDefault="005E4F32">
      <w:pPr>
        <w:spacing w:after="0" w:line="240" w:lineRule="auto"/>
      </w:pPr>
      <w:r>
        <w:separator/>
      </w:r>
    </w:p>
  </w:endnote>
  <w:endnote w:type="continuationSeparator" w:id="0">
    <w:p w14:paraId="61D854E8" w14:textId="77777777" w:rsidR="005E4F32" w:rsidRDefault="005E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9261D" w14:textId="77777777" w:rsidR="005E4F32" w:rsidRDefault="005E4F32">
      <w:pPr>
        <w:spacing w:after="0" w:line="240" w:lineRule="auto"/>
      </w:pPr>
      <w:r>
        <w:separator/>
      </w:r>
    </w:p>
  </w:footnote>
  <w:footnote w:type="continuationSeparator" w:id="0">
    <w:p w14:paraId="30B5C1A6" w14:textId="77777777" w:rsidR="005E4F32" w:rsidRDefault="005E4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17BF"/>
    <w:rsid w:val="000463FF"/>
    <w:rsid w:val="000567E6"/>
    <w:rsid w:val="000768F6"/>
    <w:rsid w:val="000B521B"/>
    <w:rsid w:val="000C17AD"/>
    <w:rsid w:val="000D39E3"/>
    <w:rsid w:val="000E2596"/>
    <w:rsid w:val="0010376F"/>
    <w:rsid w:val="0011349B"/>
    <w:rsid w:val="00160B12"/>
    <w:rsid w:val="001825C7"/>
    <w:rsid w:val="00185197"/>
    <w:rsid w:val="00196D10"/>
    <w:rsid w:val="001A6931"/>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E2087"/>
    <w:rsid w:val="002F34F6"/>
    <w:rsid w:val="00302D87"/>
    <w:rsid w:val="003316F4"/>
    <w:rsid w:val="00337E17"/>
    <w:rsid w:val="003978B2"/>
    <w:rsid w:val="003A725C"/>
    <w:rsid w:val="003D3A39"/>
    <w:rsid w:val="0040444F"/>
    <w:rsid w:val="00481C80"/>
    <w:rsid w:val="004869F3"/>
    <w:rsid w:val="004972F0"/>
    <w:rsid w:val="005127A4"/>
    <w:rsid w:val="00530C3A"/>
    <w:rsid w:val="00553DF0"/>
    <w:rsid w:val="0056794C"/>
    <w:rsid w:val="005B214D"/>
    <w:rsid w:val="005E0BB2"/>
    <w:rsid w:val="005E1DF9"/>
    <w:rsid w:val="005E2E44"/>
    <w:rsid w:val="005E4F32"/>
    <w:rsid w:val="005E67F1"/>
    <w:rsid w:val="005E687B"/>
    <w:rsid w:val="006242C8"/>
    <w:rsid w:val="00627A5C"/>
    <w:rsid w:val="006347E1"/>
    <w:rsid w:val="00653BB2"/>
    <w:rsid w:val="006618DA"/>
    <w:rsid w:val="006B107E"/>
    <w:rsid w:val="006E0603"/>
    <w:rsid w:val="006F0B53"/>
    <w:rsid w:val="006F390F"/>
    <w:rsid w:val="0071639B"/>
    <w:rsid w:val="00721FB7"/>
    <w:rsid w:val="00722392"/>
    <w:rsid w:val="00722E65"/>
    <w:rsid w:val="00723FEA"/>
    <w:rsid w:val="0075628C"/>
    <w:rsid w:val="007B2244"/>
    <w:rsid w:val="007B6B6E"/>
    <w:rsid w:val="007E2FDA"/>
    <w:rsid w:val="007F48D7"/>
    <w:rsid w:val="008221B7"/>
    <w:rsid w:val="00830F0F"/>
    <w:rsid w:val="0084499B"/>
    <w:rsid w:val="00855EB6"/>
    <w:rsid w:val="00857185"/>
    <w:rsid w:val="00894C66"/>
    <w:rsid w:val="008A7F6C"/>
    <w:rsid w:val="00920CFD"/>
    <w:rsid w:val="00927817"/>
    <w:rsid w:val="009337D5"/>
    <w:rsid w:val="00944C07"/>
    <w:rsid w:val="00964FC8"/>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57A4C"/>
    <w:rsid w:val="00DB662E"/>
    <w:rsid w:val="00DD2D2E"/>
    <w:rsid w:val="00DF7F60"/>
    <w:rsid w:val="00E30BE8"/>
    <w:rsid w:val="00E514FD"/>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13</TotalTime>
  <Pages>5</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4</cp:revision>
  <dcterms:created xsi:type="dcterms:W3CDTF">2025-07-30T08:45:00Z</dcterms:created>
  <dcterms:modified xsi:type="dcterms:W3CDTF">2025-07-30T09:00:00Z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